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4F2F" w:rsidRDefault="00114F2F" w:rsidP="00114F2F">
      <w:pPr>
        <w:jc w:val="center"/>
        <w:rPr>
          <w:rFonts w:ascii="Arial" w:hAnsi="Arial"/>
          <w:sz w:val="36"/>
          <w:szCs w:val="36"/>
        </w:rPr>
      </w:pPr>
      <w:r w:rsidRPr="00114F2F">
        <w:rPr>
          <w:rFonts w:ascii="Arial" w:hAnsi="Arial"/>
          <w:sz w:val="36"/>
          <w:szCs w:val="36"/>
        </w:rPr>
        <w:t>A submission in response to the Australian Communications and Media Authority’s</w:t>
      </w:r>
      <w:r w:rsidR="00943774">
        <w:rPr>
          <w:rFonts w:ascii="Arial" w:hAnsi="Arial"/>
          <w:sz w:val="36"/>
          <w:szCs w:val="36"/>
        </w:rPr>
        <w:t xml:space="preserve"> preliminary decisions to grant</w:t>
      </w:r>
      <w:r w:rsidR="0043382F">
        <w:rPr>
          <w:rFonts w:ascii="Arial" w:hAnsi="Arial"/>
          <w:sz w:val="36"/>
          <w:szCs w:val="36"/>
        </w:rPr>
        <w:t xml:space="preserve"> exemptions</w:t>
      </w:r>
      <w:r w:rsidR="005A74E3">
        <w:rPr>
          <w:rFonts w:ascii="Arial" w:hAnsi="Arial"/>
          <w:sz w:val="36"/>
          <w:szCs w:val="36"/>
        </w:rPr>
        <w:t xml:space="preserve"> </w:t>
      </w:r>
      <w:r w:rsidR="006E0328">
        <w:rPr>
          <w:rFonts w:ascii="Arial" w:hAnsi="Arial"/>
          <w:sz w:val="36"/>
          <w:szCs w:val="36"/>
        </w:rPr>
        <w:t xml:space="preserve">to </w:t>
      </w:r>
      <w:r w:rsidR="00CF3F4D">
        <w:rPr>
          <w:rFonts w:ascii="Arial" w:hAnsi="Arial"/>
          <w:sz w:val="36"/>
          <w:szCs w:val="36"/>
        </w:rPr>
        <w:t>Telstra Pay TV</w:t>
      </w:r>
      <w:r w:rsidR="00D25C2B">
        <w:rPr>
          <w:rFonts w:ascii="Arial" w:hAnsi="Arial"/>
          <w:sz w:val="36"/>
          <w:szCs w:val="36"/>
        </w:rPr>
        <w:t xml:space="preserve"> </w:t>
      </w:r>
      <w:r>
        <w:rPr>
          <w:rFonts w:ascii="Arial" w:hAnsi="Arial"/>
          <w:sz w:val="36"/>
          <w:szCs w:val="36"/>
        </w:rPr>
        <w:t>Pty Ltd</w:t>
      </w:r>
    </w:p>
    <w:p w:rsidR="00114F2F" w:rsidRPr="00114F2F" w:rsidRDefault="00114F2F" w:rsidP="00114F2F">
      <w:pPr>
        <w:jc w:val="center"/>
        <w:rPr>
          <w:rFonts w:ascii="Arial" w:hAnsi="Arial"/>
          <w:sz w:val="36"/>
          <w:szCs w:val="36"/>
        </w:rPr>
      </w:pPr>
    </w:p>
    <w:p w:rsidR="00114F2F" w:rsidRPr="00114F2F" w:rsidRDefault="00114F2F" w:rsidP="00114F2F">
      <w:pPr>
        <w:jc w:val="center"/>
        <w:rPr>
          <w:rFonts w:ascii="Arial" w:hAnsi="Arial"/>
          <w:sz w:val="36"/>
          <w:szCs w:val="36"/>
        </w:rPr>
      </w:pPr>
      <w:r w:rsidRPr="00114F2F">
        <w:rPr>
          <w:rFonts w:ascii="Arial" w:hAnsi="Arial"/>
          <w:sz w:val="36"/>
          <w:szCs w:val="36"/>
        </w:rPr>
        <w:t>Media Access Australia</w:t>
      </w:r>
    </w:p>
    <w:p w:rsidR="00114F2F" w:rsidRDefault="003C5F06" w:rsidP="00114F2F">
      <w:pPr>
        <w:jc w:val="center"/>
        <w:rPr>
          <w:rFonts w:ascii="Arial" w:hAnsi="Arial"/>
          <w:sz w:val="36"/>
          <w:szCs w:val="36"/>
        </w:rPr>
      </w:pPr>
      <w:r>
        <w:rPr>
          <w:rFonts w:ascii="Arial" w:hAnsi="Arial"/>
          <w:sz w:val="36"/>
          <w:szCs w:val="36"/>
        </w:rPr>
        <w:t>February 2014</w:t>
      </w:r>
    </w:p>
    <w:p w:rsidR="00114F2F" w:rsidRPr="00114F2F" w:rsidRDefault="00114F2F" w:rsidP="00114F2F">
      <w:pPr>
        <w:jc w:val="center"/>
        <w:rPr>
          <w:rFonts w:ascii="Arial" w:hAnsi="Arial"/>
          <w:sz w:val="36"/>
          <w:szCs w:val="36"/>
        </w:rPr>
      </w:pPr>
    </w:p>
    <w:p w:rsidR="00114F2F" w:rsidRPr="00943774" w:rsidRDefault="00114F2F" w:rsidP="00114F2F">
      <w:pPr>
        <w:rPr>
          <w:sz w:val="18"/>
          <w:szCs w:val="18"/>
        </w:rPr>
      </w:pPr>
      <w:r w:rsidRPr="00943774">
        <w:rPr>
          <w:sz w:val="18"/>
          <w:szCs w:val="18"/>
        </w:rPr>
        <w:t>This submission relates to the exempt</w:t>
      </w:r>
      <w:r w:rsidR="001F01E2" w:rsidRPr="00943774">
        <w:rPr>
          <w:sz w:val="18"/>
          <w:szCs w:val="18"/>
        </w:rPr>
        <w:t>ion applications lodged by Telstra Pay</w:t>
      </w:r>
      <w:r w:rsidRPr="00943774">
        <w:rPr>
          <w:sz w:val="18"/>
          <w:szCs w:val="18"/>
        </w:rPr>
        <w:t xml:space="preserve"> TV Pty Ltd for the following channels</w:t>
      </w:r>
      <w:r w:rsidR="001F01E2" w:rsidRPr="00943774">
        <w:rPr>
          <w:sz w:val="18"/>
          <w:szCs w:val="18"/>
        </w:rPr>
        <w:t xml:space="preserve"> on Telstra Mobile F</w:t>
      </w:r>
      <w:r w:rsidRPr="00943774">
        <w:rPr>
          <w:sz w:val="18"/>
          <w:szCs w:val="18"/>
        </w:rPr>
        <w:t>:</w:t>
      </w:r>
    </w:p>
    <w:p w:rsidR="00114F2F" w:rsidRPr="00943774" w:rsidRDefault="00114F2F" w:rsidP="00114F2F">
      <w:pPr>
        <w:rPr>
          <w:sz w:val="18"/>
          <w:szCs w:val="18"/>
        </w:rPr>
      </w:pPr>
    </w:p>
    <w:p w:rsidR="00D25C2B" w:rsidRPr="00943774" w:rsidRDefault="00BF3C37" w:rsidP="00943774">
      <w:pPr>
        <w:pStyle w:val="ListParagraph"/>
        <w:numPr>
          <w:ilvl w:val="0"/>
          <w:numId w:val="36"/>
        </w:numPr>
        <w:rPr>
          <w:sz w:val="18"/>
          <w:szCs w:val="18"/>
        </w:rPr>
      </w:pPr>
      <w:r w:rsidRPr="00943774">
        <w:rPr>
          <w:sz w:val="18"/>
          <w:szCs w:val="18"/>
        </w:rPr>
        <w:t>A &amp; E</w:t>
      </w:r>
      <w:r w:rsidR="00014594">
        <w:rPr>
          <w:sz w:val="18"/>
          <w:szCs w:val="18"/>
        </w:rPr>
        <w:t xml:space="preserve"> (Application # 111</w:t>
      </w:r>
      <w:r w:rsidR="00CF3F4D" w:rsidRPr="00943774">
        <w:rPr>
          <w:sz w:val="18"/>
          <w:szCs w:val="18"/>
        </w:rPr>
        <w:t>)</w:t>
      </w:r>
    </w:p>
    <w:p w:rsidR="00CF3F4D" w:rsidRPr="00943774" w:rsidRDefault="00014594" w:rsidP="00943774">
      <w:pPr>
        <w:pStyle w:val="ListParagraph"/>
        <w:numPr>
          <w:ilvl w:val="0"/>
          <w:numId w:val="36"/>
        </w:numPr>
        <w:rPr>
          <w:sz w:val="18"/>
          <w:szCs w:val="18"/>
        </w:rPr>
      </w:pPr>
      <w:r>
        <w:rPr>
          <w:sz w:val="18"/>
          <w:szCs w:val="18"/>
        </w:rPr>
        <w:t>ABC1 (# 112</w:t>
      </w:r>
      <w:r w:rsidR="00CF3F4D" w:rsidRPr="00943774">
        <w:rPr>
          <w:sz w:val="18"/>
          <w:szCs w:val="18"/>
        </w:rPr>
        <w:t xml:space="preserve">) </w:t>
      </w:r>
    </w:p>
    <w:p w:rsidR="00CF3F4D" w:rsidRPr="00943774" w:rsidRDefault="00014594" w:rsidP="00943774">
      <w:pPr>
        <w:pStyle w:val="ListParagraph"/>
        <w:numPr>
          <w:ilvl w:val="0"/>
          <w:numId w:val="36"/>
        </w:numPr>
        <w:rPr>
          <w:sz w:val="18"/>
          <w:szCs w:val="18"/>
        </w:rPr>
      </w:pPr>
      <w:r>
        <w:rPr>
          <w:sz w:val="18"/>
          <w:szCs w:val="18"/>
        </w:rPr>
        <w:t>Arena (# 113</w:t>
      </w:r>
      <w:r w:rsidR="00CF3F4D" w:rsidRPr="00943774">
        <w:rPr>
          <w:sz w:val="18"/>
          <w:szCs w:val="18"/>
        </w:rPr>
        <w:t>)</w:t>
      </w:r>
    </w:p>
    <w:p w:rsidR="00CF3F4D" w:rsidRPr="00943774" w:rsidRDefault="00014594" w:rsidP="00943774">
      <w:pPr>
        <w:pStyle w:val="ListParagraph"/>
        <w:numPr>
          <w:ilvl w:val="0"/>
          <w:numId w:val="36"/>
        </w:numPr>
        <w:rPr>
          <w:sz w:val="18"/>
          <w:szCs w:val="18"/>
        </w:rPr>
      </w:pPr>
      <w:r>
        <w:rPr>
          <w:sz w:val="18"/>
          <w:szCs w:val="18"/>
        </w:rPr>
        <w:t>BBC World News (# 114</w:t>
      </w:r>
      <w:r w:rsidR="00CF3F4D" w:rsidRPr="00943774">
        <w:rPr>
          <w:sz w:val="18"/>
          <w:szCs w:val="18"/>
        </w:rPr>
        <w:t>)</w:t>
      </w:r>
    </w:p>
    <w:p w:rsidR="00CF3F4D" w:rsidRPr="00943774" w:rsidRDefault="00502293" w:rsidP="00943774">
      <w:pPr>
        <w:pStyle w:val="ListParagraph"/>
        <w:numPr>
          <w:ilvl w:val="0"/>
          <w:numId w:val="36"/>
        </w:numPr>
        <w:rPr>
          <w:sz w:val="18"/>
          <w:szCs w:val="18"/>
        </w:rPr>
      </w:pPr>
      <w:proofErr w:type="spellStart"/>
      <w:r>
        <w:rPr>
          <w:sz w:val="18"/>
          <w:szCs w:val="18"/>
        </w:rPr>
        <w:t>Spo</w:t>
      </w:r>
      <w:r w:rsidR="00014594">
        <w:rPr>
          <w:sz w:val="18"/>
          <w:szCs w:val="18"/>
        </w:rPr>
        <w:t>r</w:t>
      </w:r>
      <w:r>
        <w:rPr>
          <w:sz w:val="18"/>
          <w:szCs w:val="18"/>
        </w:rPr>
        <w:t>t</w:t>
      </w:r>
      <w:r w:rsidR="00014594">
        <w:rPr>
          <w:sz w:val="18"/>
          <w:szCs w:val="18"/>
        </w:rPr>
        <w:t>sFan</w:t>
      </w:r>
      <w:proofErr w:type="spellEnd"/>
      <w:r w:rsidR="00014594">
        <w:rPr>
          <w:sz w:val="18"/>
          <w:szCs w:val="18"/>
        </w:rPr>
        <w:t xml:space="preserve"> (# 115</w:t>
      </w:r>
      <w:r w:rsidR="00CF3F4D" w:rsidRPr="00943774">
        <w:rPr>
          <w:sz w:val="18"/>
          <w:szCs w:val="18"/>
        </w:rPr>
        <w:t>)</w:t>
      </w:r>
    </w:p>
    <w:p w:rsidR="00BF3C37" w:rsidRPr="00943774" w:rsidRDefault="00BF3C37" w:rsidP="00943774">
      <w:pPr>
        <w:pStyle w:val="ListParagraph"/>
        <w:numPr>
          <w:ilvl w:val="0"/>
          <w:numId w:val="36"/>
        </w:numPr>
        <w:rPr>
          <w:sz w:val="18"/>
          <w:szCs w:val="18"/>
        </w:rPr>
      </w:pPr>
      <w:r w:rsidRPr="00943774">
        <w:rPr>
          <w:sz w:val="18"/>
          <w:szCs w:val="18"/>
        </w:rPr>
        <w:t>Cartoon Net</w:t>
      </w:r>
      <w:r w:rsidR="00CF3F4D" w:rsidRPr="00943774">
        <w:rPr>
          <w:sz w:val="18"/>
          <w:szCs w:val="18"/>
        </w:rPr>
        <w:t>work (#</w:t>
      </w:r>
      <w:r w:rsidR="00014594">
        <w:rPr>
          <w:sz w:val="18"/>
          <w:szCs w:val="18"/>
        </w:rPr>
        <w:t xml:space="preserve"> 116</w:t>
      </w:r>
      <w:r w:rsidRPr="00943774">
        <w:rPr>
          <w:sz w:val="18"/>
          <w:szCs w:val="18"/>
        </w:rPr>
        <w:t>)</w:t>
      </w:r>
    </w:p>
    <w:p w:rsidR="00BF3C37" w:rsidRPr="00943774" w:rsidRDefault="00014594" w:rsidP="00943774">
      <w:pPr>
        <w:pStyle w:val="ListParagraph"/>
        <w:numPr>
          <w:ilvl w:val="0"/>
          <w:numId w:val="36"/>
        </w:numPr>
        <w:rPr>
          <w:sz w:val="18"/>
          <w:szCs w:val="18"/>
        </w:rPr>
      </w:pPr>
      <w:r>
        <w:rPr>
          <w:sz w:val="18"/>
          <w:szCs w:val="18"/>
        </w:rPr>
        <w:t>Channel [V] Hits (# 117</w:t>
      </w:r>
      <w:r w:rsidR="00BF3C37" w:rsidRPr="00943774">
        <w:rPr>
          <w:sz w:val="18"/>
          <w:szCs w:val="18"/>
        </w:rPr>
        <w:t>)</w:t>
      </w:r>
    </w:p>
    <w:p w:rsidR="00BF3C37" w:rsidRPr="00943774" w:rsidRDefault="00014594" w:rsidP="00943774">
      <w:pPr>
        <w:pStyle w:val="ListParagraph"/>
        <w:numPr>
          <w:ilvl w:val="0"/>
          <w:numId w:val="36"/>
        </w:numPr>
        <w:rPr>
          <w:sz w:val="18"/>
          <w:szCs w:val="18"/>
        </w:rPr>
      </w:pPr>
      <w:r>
        <w:rPr>
          <w:sz w:val="18"/>
          <w:szCs w:val="18"/>
        </w:rPr>
        <w:t>Channel [V} (# 118</w:t>
      </w:r>
      <w:r w:rsidR="00BF3C37" w:rsidRPr="00943774">
        <w:rPr>
          <w:sz w:val="18"/>
          <w:szCs w:val="18"/>
        </w:rPr>
        <w:t>)</w:t>
      </w:r>
    </w:p>
    <w:p w:rsidR="00BF3C37" w:rsidRPr="00943774" w:rsidRDefault="00014594" w:rsidP="00943774">
      <w:pPr>
        <w:pStyle w:val="ListParagraph"/>
        <w:numPr>
          <w:ilvl w:val="0"/>
          <w:numId w:val="36"/>
        </w:numPr>
        <w:rPr>
          <w:sz w:val="18"/>
          <w:szCs w:val="18"/>
        </w:rPr>
      </w:pPr>
      <w:r>
        <w:rPr>
          <w:sz w:val="18"/>
          <w:szCs w:val="18"/>
        </w:rPr>
        <w:t>CNN (# 119</w:t>
      </w:r>
      <w:r w:rsidR="00BF3C37" w:rsidRPr="00943774">
        <w:rPr>
          <w:sz w:val="18"/>
          <w:szCs w:val="18"/>
        </w:rPr>
        <w:t>)</w:t>
      </w:r>
    </w:p>
    <w:p w:rsidR="00BF3C37" w:rsidRPr="00943774" w:rsidRDefault="00014594" w:rsidP="00943774">
      <w:pPr>
        <w:pStyle w:val="ListParagraph"/>
        <w:numPr>
          <w:ilvl w:val="0"/>
          <w:numId w:val="36"/>
        </w:numPr>
        <w:rPr>
          <w:sz w:val="18"/>
          <w:szCs w:val="18"/>
        </w:rPr>
      </w:pPr>
      <w:r>
        <w:rPr>
          <w:sz w:val="18"/>
          <w:szCs w:val="18"/>
        </w:rPr>
        <w:t>Discovery Mobile (# 120</w:t>
      </w:r>
      <w:r w:rsidR="00BF3C37" w:rsidRPr="00943774">
        <w:rPr>
          <w:sz w:val="18"/>
          <w:szCs w:val="18"/>
        </w:rPr>
        <w:t>)</w:t>
      </w:r>
    </w:p>
    <w:p w:rsidR="00BF3C37" w:rsidRPr="00943774" w:rsidRDefault="00014594" w:rsidP="00943774">
      <w:pPr>
        <w:pStyle w:val="ListParagraph"/>
        <w:numPr>
          <w:ilvl w:val="0"/>
          <w:numId w:val="36"/>
        </w:numPr>
        <w:rPr>
          <w:sz w:val="18"/>
          <w:szCs w:val="18"/>
        </w:rPr>
      </w:pPr>
      <w:r>
        <w:rPr>
          <w:sz w:val="18"/>
          <w:szCs w:val="18"/>
        </w:rPr>
        <w:t>Disney Channel (# 121</w:t>
      </w:r>
      <w:r w:rsidR="00BF3C37" w:rsidRPr="00943774">
        <w:rPr>
          <w:sz w:val="18"/>
          <w:szCs w:val="18"/>
        </w:rPr>
        <w:t>)</w:t>
      </w:r>
    </w:p>
    <w:p w:rsidR="00BF3C37" w:rsidRPr="00943774" w:rsidRDefault="00BF3C37" w:rsidP="00943774">
      <w:pPr>
        <w:pStyle w:val="ListParagraph"/>
        <w:numPr>
          <w:ilvl w:val="0"/>
          <w:numId w:val="36"/>
        </w:numPr>
        <w:rPr>
          <w:sz w:val="18"/>
          <w:szCs w:val="18"/>
        </w:rPr>
      </w:pPr>
      <w:r w:rsidRPr="00943774">
        <w:rPr>
          <w:sz w:val="18"/>
          <w:szCs w:val="18"/>
        </w:rPr>
        <w:t xml:space="preserve">Disney Junior (# </w:t>
      </w:r>
      <w:r w:rsidR="00014594">
        <w:rPr>
          <w:sz w:val="18"/>
          <w:szCs w:val="18"/>
        </w:rPr>
        <w:t>122)</w:t>
      </w:r>
    </w:p>
    <w:p w:rsidR="001F01E2" w:rsidRPr="00943774" w:rsidRDefault="00014594" w:rsidP="00943774">
      <w:pPr>
        <w:pStyle w:val="ListParagraph"/>
        <w:numPr>
          <w:ilvl w:val="0"/>
          <w:numId w:val="36"/>
        </w:numPr>
        <w:rPr>
          <w:sz w:val="18"/>
          <w:szCs w:val="18"/>
        </w:rPr>
      </w:pPr>
      <w:r>
        <w:rPr>
          <w:sz w:val="18"/>
          <w:szCs w:val="18"/>
        </w:rPr>
        <w:t>E! Entertainment (# 123</w:t>
      </w:r>
      <w:r w:rsidR="001F01E2" w:rsidRPr="00943774">
        <w:rPr>
          <w:sz w:val="18"/>
          <w:szCs w:val="18"/>
        </w:rPr>
        <w:t>)</w:t>
      </w:r>
    </w:p>
    <w:p w:rsidR="001F01E2" w:rsidRPr="00943774" w:rsidRDefault="00014594" w:rsidP="00943774">
      <w:pPr>
        <w:pStyle w:val="ListParagraph"/>
        <w:numPr>
          <w:ilvl w:val="0"/>
          <w:numId w:val="36"/>
        </w:numPr>
        <w:rPr>
          <w:sz w:val="18"/>
          <w:szCs w:val="18"/>
        </w:rPr>
      </w:pPr>
      <w:proofErr w:type="spellStart"/>
      <w:r>
        <w:rPr>
          <w:sz w:val="18"/>
          <w:szCs w:val="18"/>
        </w:rPr>
        <w:t>Eurosports</w:t>
      </w:r>
      <w:proofErr w:type="spellEnd"/>
      <w:r>
        <w:rPr>
          <w:sz w:val="18"/>
          <w:szCs w:val="18"/>
        </w:rPr>
        <w:t xml:space="preserve"> (# 124</w:t>
      </w:r>
      <w:r w:rsidR="001F01E2" w:rsidRPr="00943774">
        <w:rPr>
          <w:sz w:val="18"/>
          <w:szCs w:val="18"/>
        </w:rPr>
        <w:t>)</w:t>
      </w:r>
    </w:p>
    <w:p w:rsidR="001F01E2" w:rsidRPr="00943774" w:rsidRDefault="00014594" w:rsidP="00943774">
      <w:pPr>
        <w:pStyle w:val="ListParagraph"/>
        <w:numPr>
          <w:ilvl w:val="0"/>
          <w:numId w:val="36"/>
        </w:numPr>
        <w:rPr>
          <w:sz w:val="18"/>
          <w:szCs w:val="18"/>
        </w:rPr>
      </w:pPr>
      <w:proofErr w:type="spellStart"/>
      <w:r>
        <w:rPr>
          <w:sz w:val="18"/>
          <w:szCs w:val="18"/>
        </w:rPr>
        <w:t>Eurosportsnews</w:t>
      </w:r>
      <w:proofErr w:type="spellEnd"/>
      <w:r>
        <w:rPr>
          <w:sz w:val="18"/>
          <w:szCs w:val="18"/>
        </w:rPr>
        <w:t xml:space="preserve"> (# 125</w:t>
      </w:r>
      <w:r w:rsidR="001F01E2"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Footy TV (AFL) (# 126</w:t>
      </w:r>
      <w:r w:rsidR="001F01E2"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FOX Sports (# 127</w:t>
      </w:r>
      <w:r w:rsidR="001F01E2" w:rsidRPr="00943774">
        <w:rPr>
          <w:sz w:val="18"/>
          <w:szCs w:val="18"/>
        </w:rPr>
        <w:t>)</w:t>
      </w:r>
    </w:p>
    <w:p w:rsidR="001F01E2" w:rsidRPr="00943774" w:rsidRDefault="001F01E2" w:rsidP="00943774">
      <w:pPr>
        <w:pStyle w:val="ListParagraph"/>
        <w:numPr>
          <w:ilvl w:val="0"/>
          <w:numId w:val="36"/>
        </w:numPr>
        <w:rPr>
          <w:sz w:val="18"/>
          <w:szCs w:val="18"/>
        </w:rPr>
      </w:pPr>
      <w:r w:rsidRPr="00943774">
        <w:rPr>
          <w:sz w:val="18"/>
          <w:szCs w:val="18"/>
        </w:rPr>
        <w:t xml:space="preserve">Fox8 (# </w:t>
      </w:r>
      <w:r w:rsidR="00014594">
        <w:rPr>
          <w:sz w:val="18"/>
          <w:szCs w:val="18"/>
        </w:rPr>
        <w:t>128</w:t>
      </w:r>
      <w:r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League TV (NRL) (# 129</w:t>
      </w:r>
      <w:r w:rsidR="001F01E2"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Lifestyle YOU (# 130</w:t>
      </w:r>
      <w:r w:rsidR="001F01E2"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MAX (# 131</w:t>
      </w:r>
      <w:r w:rsidR="001F01E2"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MTV (# 132)</w:t>
      </w:r>
    </w:p>
    <w:p w:rsidR="001F01E2" w:rsidRPr="00943774" w:rsidRDefault="00014594" w:rsidP="00943774">
      <w:pPr>
        <w:pStyle w:val="ListParagraph"/>
        <w:numPr>
          <w:ilvl w:val="0"/>
          <w:numId w:val="36"/>
        </w:numPr>
        <w:rPr>
          <w:sz w:val="18"/>
          <w:szCs w:val="18"/>
        </w:rPr>
      </w:pPr>
      <w:r>
        <w:rPr>
          <w:sz w:val="18"/>
          <w:szCs w:val="18"/>
        </w:rPr>
        <w:t>Nat Geo Adventure (# 133</w:t>
      </w:r>
      <w:r w:rsidR="001F01E2" w:rsidRPr="00943774">
        <w:rPr>
          <w:sz w:val="18"/>
          <w:szCs w:val="18"/>
        </w:rPr>
        <w:t>)</w:t>
      </w:r>
    </w:p>
    <w:p w:rsidR="001F01E2" w:rsidRPr="00943774" w:rsidRDefault="00014594" w:rsidP="00943774">
      <w:pPr>
        <w:pStyle w:val="ListParagraph"/>
        <w:numPr>
          <w:ilvl w:val="0"/>
          <w:numId w:val="36"/>
        </w:numPr>
        <w:rPr>
          <w:sz w:val="18"/>
          <w:szCs w:val="18"/>
        </w:rPr>
      </w:pPr>
      <w:r>
        <w:rPr>
          <w:sz w:val="18"/>
          <w:szCs w:val="18"/>
        </w:rPr>
        <w:t>National Geographic (# 134</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Nick Jr (# 135</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Nickelodeon Mobile (# 136</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SBS One (# 137</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SF (# 138</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Sky News Business (# 139</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Sky News (# 140</w:t>
      </w:r>
      <w:r w:rsidR="00F90E59" w:rsidRPr="00943774">
        <w:rPr>
          <w:sz w:val="18"/>
          <w:szCs w:val="18"/>
        </w:rPr>
        <w:t>)</w:t>
      </w:r>
    </w:p>
    <w:p w:rsidR="00F90E59" w:rsidRPr="00943774" w:rsidRDefault="00F90E59" w:rsidP="00943774">
      <w:pPr>
        <w:pStyle w:val="ListParagraph"/>
        <w:numPr>
          <w:ilvl w:val="0"/>
          <w:numId w:val="36"/>
        </w:numPr>
        <w:rPr>
          <w:sz w:val="18"/>
          <w:szCs w:val="18"/>
        </w:rPr>
      </w:pPr>
      <w:r w:rsidRPr="00943774">
        <w:rPr>
          <w:sz w:val="18"/>
          <w:szCs w:val="18"/>
        </w:rPr>
        <w:t xml:space="preserve">Sports Play Powered by Fox </w:t>
      </w:r>
      <w:r w:rsidR="00014594">
        <w:rPr>
          <w:sz w:val="18"/>
          <w:szCs w:val="18"/>
        </w:rPr>
        <w:t>Sports (# 141</w:t>
      </w:r>
      <w:r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The Comedy Channel (# 142</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The Lifestyle Channel (# 143</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Sky News Weather (# 144</w:t>
      </w:r>
      <w:r w:rsidR="00F90E59" w:rsidRPr="00943774">
        <w:rPr>
          <w:sz w:val="18"/>
          <w:szCs w:val="18"/>
        </w:rPr>
        <w:t>)</w:t>
      </w:r>
    </w:p>
    <w:p w:rsidR="00F90E59" w:rsidRPr="00943774" w:rsidRDefault="00014594" w:rsidP="00943774">
      <w:pPr>
        <w:pStyle w:val="ListParagraph"/>
        <w:numPr>
          <w:ilvl w:val="0"/>
          <w:numId w:val="36"/>
        </w:numPr>
        <w:rPr>
          <w:sz w:val="18"/>
          <w:szCs w:val="18"/>
        </w:rPr>
      </w:pPr>
      <w:r>
        <w:rPr>
          <w:sz w:val="18"/>
          <w:szCs w:val="18"/>
        </w:rPr>
        <w:t>TV1 (# 145</w:t>
      </w:r>
      <w:r w:rsidR="00F90E59" w:rsidRPr="00943774">
        <w:rPr>
          <w:sz w:val="18"/>
          <w:szCs w:val="18"/>
        </w:rPr>
        <w:t>)</w:t>
      </w:r>
    </w:p>
    <w:p w:rsidR="00F90E59" w:rsidRDefault="00F90E59" w:rsidP="00114F2F">
      <w:pPr>
        <w:rPr>
          <w:sz w:val="18"/>
          <w:szCs w:val="18"/>
        </w:rPr>
      </w:pPr>
    </w:p>
    <w:p w:rsidR="003C5F06" w:rsidRDefault="003C5F06" w:rsidP="00114F2F">
      <w:pPr>
        <w:rPr>
          <w:sz w:val="18"/>
          <w:szCs w:val="18"/>
        </w:rPr>
      </w:pPr>
    </w:p>
    <w:p w:rsidR="003C5F06" w:rsidRDefault="003C5F06" w:rsidP="00114F2F">
      <w:pPr>
        <w:rPr>
          <w:sz w:val="18"/>
          <w:szCs w:val="18"/>
        </w:rPr>
      </w:pPr>
    </w:p>
    <w:p w:rsidR="003C5F06" w:rsidRPr="00943774" w:rsidRDefault="003C5F06" w:rsidP="00114F2F">
      <w:pPr>
        <w:rPr>
          <w:sz w:val="18"/>
          <w:szCs w:val="18"/>
        </w:rPr>
      </w:pPr>
    </w:p>
    <w:p w:rsidR="00114F2F" w:rsidRPr="00943774" w:rsidRDefault="00943774" w:rsidP="00943774">
      <w:pPr>
        <w:jc w:val="right"/>
        <w:rPr>
          <w:rFonts w:ascii="Arial" w:hAnsi="Arial"/>
          <w:sz w:val="18"/>
          <w:szCs w:val="18"/>
        </w:rPr>
      </w:pPr>
      <w:r w:rsidRPr="00943774">
        <w:rPr>
          <w:sz w:val="18"/>
          <w:szCs w:val="18"/>
        </w:rPr>
        <w:t>Su</w:t>
      </w:r>
      <w:r w:rsidR="00114F2F" w:rsidRPr="00943774">
        <w:rPr>
          <w:rFonts w:ascii="Arial" w:hAnsi="Arial"/>
          <w:sz w:val="18"/>
          <w:szCs w:val="18"/>
        </w:rPr>
        <w:t>bmitted by:</w:t>
      </w:r>
    </w:p>
    <w:p w:rsidR="00114F2F" w:rsidRPr="00943774" w:rsidRDefault="00114F2F" w:rsidP="00114F2F">
      <w:pPr>
        <w:jc w:val="right"/>
        <w:rPr>
          <w:rFonts w:ascii="Arial" w:hAnsi="Arial"/>
          <w:sz w:val="18"/>
          <w:szCs w:val="18"/>
        </w:rPr>
      </w:pPr>
    </w:p>
    <w:p w:rsidR="00114F2F" w:rsidRPr="00943774" w:rsidRDefault="00114F2F" w:rsidP="00114F2F">
      <w:pPr>
        <w:jc w:val="right"/>
        <w:rPr>
          <w:rFonts w:ascii="Arial" w:hAnsi="Arial"/>
          <w:sz w:val="18"/>
          <w:szCs w:val="18"/>
        </w:rPr>
      </w:pPr>
      <w:r w:rsidRPr="00943774">
        <w:rPr>
          <w:rFonts w:ascii="Arial" w:hAnsi="Arial"/>
          <w:sz w:val="18"/>
          <w:szCs w:val="18"/>
        </w:rPr>
        <w:t>Chris Mikul</w:t>
      </w:r>
    </w:p>
    <w:p w:rsidR="00114F2F" w:rsidRPr="00943774" w:rsidRDefault="00114F2F" w:rsidP="00114F2F">
      <w:pPr>
        <w:jc w:val="right"/>
        <w:rPr>
          <w:rFonts w:ascii="Arial" w:hAnsi="Arial"/>
          <w:sz w:val="18"/>
          <w:szCs w:val="18"/>
        </w:rPr>
      </w:pPr>
      <w:r w:rsidRPr="00943774">
        <w:rPr>
          <w:rFonts w:ascii="Arial" w:hAnsi="Arial"/>
          <w:sz w:val="18"/>
          <w:szCs w:val="18"/>
        </w:rPr>
        <w:t>Project Manager</w:t>
      </w:r>
    </w:p>
    <w:p w:rsidR="00114F2F" w:rsidRPr="00943774" w:rsidRDefault="00114F2F" w:rsidP="00114F2F">
      <w:pPr>
        <w:jc w:val="right"/>
        <w:rPr>
          <w:rFonts w:ascii="Arial" w:hAnsi="Arial"/>
          <w:sz w:val="18"/>
          <w:szCs w:val="18"/>
        </w:rPr>
      </w:pPr>
      <w:r w:rsidRPr="00943774">
        <w:rPr>
          <w:rFonts w:ascii="Arial" w:hAnsi="Arial"/>
          <w:sz w:val="18"/>
          <w:szCs w:val="18"/>
        </w:rPr>
        <w:t>Media Access Australia</w:t>
      </w:r>
    </w:p>
    <w:p w:rsidR="00114F2F" w:rsidRPr="00943774" w:rsidRDefault="00114F2F" w:rsidP="00114F2F">
      <w:pPr>
        <w:jc w:val="right"/>
        <w:rPr>
          <w:rFonts w:ascii="Arial" w:hAnsi="Arial"/>
          <w:sz w:val="18"/>
          <w:szCs w:val="18"/>
        </w:rPr>
      </w:pPr>
      <w:r w:rsidRPr="00943774">
        <w:rPr>
          <w:rFonts w:ascii="Arial" w:hAnsi="Arial"/>
          <w:sz w:val="18"/>
          <w:szCs w:val="18"/>
        </w:rPr>
        <w:t>Phone: 02 9212 6242</w:t>
      </w:r>
    </w:p>
    <w:p w:rsidR="00114F2F" w:rsidRPr="00943774" w:rsidRDefault="001D27AF" w:rsidP="00114F2F">
      <w:pPr>
        <w:jc w:val="right"/>
        <w:rPr>
          <w:rFonts w:ascii="Arial" w:hAnsi="Arial"/>
          <w:sz w:val="18"/>
          <w:szCs w:val="18"/>
        </w:rPr>
      </w:pPr>
      <w:r w:rsidRPr="00943774">
        <w:rPr>
          <w:rFonts w:ascii="Arial" w:hAnsi="Arial"/>
          <w:sz w:val="18"/>
          <w:szCs w:val="18"/>
        </w:rPr>
        <w:t xml:space="preserve">Email: </w:t>
      </w:r>
      <w:r w:rsidR="00280467" w:rsidRPr="00943774">
        <w:rPr>
          <w:rFonts w:ascii="Arial" w:hAnsi="Arial"/>
          <w:sz w:val="18"/>
          <w:szCs w:val="18"/>
        </w:rPr>
        <w:t>chris.mikul@mediaaccess.org.</w:t>
      </w:r>
      <w:r w:rsidR="00114F2F" w:rsidRPr="00943774">
        <w:rPr>
          <w:rFonts w:ascii="Arial" w:hAnsi="Arial"/>
          <w:sz w:val="18"/>
          <w:szCs w:val="18"/>
        </w:rPr>
        <w:t>au</w:t>
      </w:r>
    </w:p>
    <w:p w:rsidR="00114F2F" w:rsidRPr="00270801" w:rsidRDefault="00114F2F" w:rsidP="00114F2F">
      <w:pPr>
        <w:pStyle w:val="ListParagraph"/>
        <w:numPr>
          <w:ilvl w:val="0"/>
          <w:numId w:val="32"/>
        </w:numPr>
        <w:spacing w:after="200" w:line="276" w:lineRule="auto"/>
        <w:rPr>
          <w:b/>
        </w:rPr>
      </w:pPr>
      <w:r w:rsidRPr="00270801">
        <w:rPr>
          <w:b/>
        </w:rPr>
        <w:lastRenderedPageBreak/>
        <w:t>About Media Access Australia</w:t>
      </w:r>
    </w:p>
    <w:p w:rsidR="00114F2F" w:rsidRDefault="00114F2F" w:rsidP="00114F2F">
      <w:pPr>
        <w:pStyle w:val="NoSpacing"/>
      </w:pPr>
      <w:r w:rsidRPr="00E44D4C">
        <w:t>Media Access Australia is Australia’s only independent not-for-profit organisation devoted to increasing access to media for people with disabilities.</w:t>
      </w:r>
    </w:p>
    <w:p w:rsidR="00114F2F" w:rsidRPr="009B3B15" w:rsidRDefault="00114F2F" w:rsidP="00114F2F">
      <w:pPr>
        <w:pStyle w:val="NoSpacing"/>
      </w:pPr>
      <w:r w:rsidRPr="00E44D4C">
        <w:t xml:space="preserve"> </w:t>
      </w:r>
    </w:p>
    <w:p w:rsidR="00114F2F" w:rsidRDefault="00114F2F" w:rsidP="00114F2F">
      <w:pPr>
        <w:pStyle w:val="NoSpacing"/>
      </w:pPr>
      <w:r w:rsidRPr="008456A9">
        <w:t>At the core of our work is the understanding that exclusion from mainstream audiovisual media has profound effects on educational outcomes, workforce participation and social inclusion.</w:t>
      </w:r>
    </w:p>
    <w:p w:rsidR="00114F2F" w:rsidRDefault="00114F2F" w:rsidP="00114F2F">
      <w:pPr>
        <w:pStyle w:val="NoSpacing"/>
      </w:pPr>
    </w:p>
    <w:p w:rsidR="00114F2F" w:rsidRDefault="00114F2F" w:rsidP="00114F2F">
      <w:pPr>
        <w:pStyle w:val="NoSpacing"/>
      </w:pPr>
      <w:r w:rsidRPr="00E44D4C">
        <w:t>Access to media through technology empowers people to be independent, gain knowledge, make their own choices, and be active members of our society.</w:t>
      </w:r>
      <w:bookmarkStart w:id="0" w:name="_Toc339372670"/>
      <w:bookmarkStart w:id="1" w:name="_Toc339463313"/>
    </w:p>
    <w:p w:rsidR="00114F2F" w:rsidRDefault="00114F2F" w:rsidP="00114F2F">
      <w:pPr>
        <w:pStyle w:val="NoSpacing"/>
      </w:pPr>
    </w:p>
    <w:bookmarkEnd w:id="0"/>
    <w:bookmarkEnd w:id="1"/>
    <w:p w:rsidR="00114F2F" w:rsidRDefault="00114F2F" w:rsidP="00114F2F">
      <w:pPr>
        <w:pStyle w:val="NoSpacing"/>
      </w:pPr>
      <w:r w:rsidRPr="00E44D4C">
        <w:t xml:space="preserve">We promote inclusion by providing expert knowledge and advice on existing and emerging mainstream technologies to government, industry, educators, consumer organisations and individuals. </w:t>
      </w:r>
    </w:p>
    <w:p w:rsidR="00114F2F" w:rsidRDefault="00114F2F" w:rsidP="00114F2F">
      <w:pPr>
        <w:pStyle w:val="NoSpacing"/>
      </w:pPr>
    </w:p>
    <w:p w:rsidR="00114F2F" w:rsidRPr="00270801" w:rsidRDefault="00114F2F" w:rsidP="00114F2F">
      <w:pPr>
        <w:pStyle w:val="ListParagraph"/>
        <w:numPr>
          <w:ilvl w:val="0"/>
          <w:numId w:val="32"/>
        </w:numPr>
        <w:spacing w:after="200" w:line="276" w:lineRule="auto"/>
        <w:rPr>
          <w:rFonts w:cs="Arial"/>
          <w:b/>
          <w:color w:val="000000"/>
        </w:rPr>
      </w:pPr>
      <w:r w:rsidRPr="00270801">
        <w:rPr>
          <w:rFonts w:cs="Arial"/>
          <w:b/>
          <w:color w:val="000000"/>
        </w:rPr>
        <w:t>The approach to exemptions should reflect policy</w:t>
      </w:r>
    </w:p>
    <w:p w:rsidR="00114F2F" w:rsidRPr="009B3B15" w:rsidRDefault="00114F2F" w:rsidP="00114F2F">
      <w:pPr>
        <w:rPr>
          <w:rFonts w:ascii="Arial" w:hAnsi="Arial" w:cs="Arial"/>
          <w:color w:val="000000"/>
          <w:szCs w:val="22"/>
        </w:rPr>
      </w:pPr>
      <w:r w:rsidRPr="009B3B15">
        <w:rPr>
          <w:rFonts w:ascii="Arial" w:hAnsi="Arial" w:cs="Arial"/>
          <w:color w:val="000000"/>
          <w:szCs w:val="22"/>
        </w:rPr>
        <w:t xml:space="preserve">In the Explanatory Memorandum accompanying the legislation to amend the </w:t>
      </w:r>
      <w:r>
        <w:rPr>
          <w:rFonts w:cs="Arial"/>
          <w:i/>
          <w:color w:val="000000"/>
        </w:rPr>
        <w:t>Broadcasting Services Act.</w:t>
      </w:r>
      <w:r w:rsidRPr="009B3B15">
        <w:rPr>
          <w:rFonts w:cs="Arial"/>
          <w:color w:val="000000"/>
        </w:rPr>
        <w:t>,</w:t>
      </w:r>
      <w:r>
        <w:rPr>
          <w:rFonts w:cs="Arial"/>
          <w:i/>
          <w:color w:val="000000"/>
        </w:rPr>
        <w:t xml:space="preserve"> </w:t>
      </w:r>
      <w:r w:rsidRPr="009B3B15">
        <w:rPr>
          <w:rFonts w:ascii="Arial" w:hAnsi="Arial" w:cs="Arial"/>
          <w:color w:val="000000"/>
          <w:szCs w:val="22"/>
        </w:rPr>
        <w:t xml:space="preserve">the intent of the Parliament is made clear in regards to </w:t>
      </w:r>
      <w:r>
        <w:rPr>
          <w:rFonts w:cs="Arial"/>
          <w:color w:val="000000"/>
        </w:rPr>
        <w:t>the purposes of the amendments.</w:t>
      </w:r>
      <w:r w:rsidRPr="009B3B15">
        <w:rPr>
          <w:rFonts w:ascii="Arial" w:hAnsi="Arial" w:cs="Arial"/>
          <w:color w:val="000000"/>
          <w:szCs w:val="22"/>
        </w:rPr>
        <w:t xml:space="preserve"> Par</w:t>
      </w:r>
      <w:r>
        <w:rPr>
          <w:rFonts w:cs="Arial"/>
          <w:color w:val="000000"/>
        </w:rPr>
        <w:t>agraph 93 states quite clearly:</w:t>
      </w:r>
      <w:r w:rsidRPr="009B3B15">
        <w:rPr>
          <w:rFonts w:ascii="Arial" w:hAnsi="Arial" w:cs="Arial"/>
          <w:color w:val="000000"/>
          <w:szCs w:val="22"/>
        </w:rPr>
        <w:t xml:space="preserve"> “The over-arching policy is for a subscription television licensee to meet annual captioning targets, that will increase in time, in respect of particular categories of subscription television services that</w:t>
      </w:r>
      <w:r>
        <w:rPr>
          <w:rFonts w:cs="Arial"/>
          <w:color w:val="000000"/>
        </w:rPr>
        <w:t xml:space="preserve"> are required to be captioned. </w:t>
      </w:r>
      <w:r w:rsidRPr="009B3B15">
        <w:rPr>
          <w:rFonts w:ascii="Arial" w:hAnsi="Arial" w:cs="Arial"/>
          <w:color w:val="000000"/>
          <w:szCs w:val="22"/>
        </w:rPr>
        <w:t>Incremental improvements in the accessibility of television services are consistent with the objectives of the DDA.”</w:t>
      </w:r>
    </w:p>
    <w:p w:rsidR="001D27AF" w:rsidRDefault="001D27AF" w:rsidP="00114F2F">
      <w:pPr>
        <w:rPr>
          <w:rFonts w:ascii="Arial" w:hAnsi="Arial" w:cs="Arial"/>
          <w:color w:val="000000"/>
          <w:szCs w:val="22"/>
        </w:rPr>
      </w:pPr>
    </w:p>
    <w:p w:rsidR="00114F2F" w:rsidRDefault="00114F2F" w:rsidP="00114F2F">
      <w:pPr>
        <w:rPr>
          <w:rFonts w:cs="Arial"/>
          <w:color w:val="000000"/>
        </w:rPr>
      </w:pPr>
      <w:r w:rsidRPr="009B3B15">
        <w:rPr>
          <w:rFonts w:ascii="Arial" w:hAnsi="Arial" w:cs="Arial"/>
          <w:color w:val="000000"/>
          <w:szCs w:val="22"/>
        </w:rPr>
        <w:t>In simple terms, the purpose of the amendment is to improve access to television</w:t>
      </w:r>
      <w:r>
        <w:rPr>
          <w:rFonts w:cs="Arial"/>
          <w:color w:val="000000"/>
        </w:rPr>
        <w:t>,</w:t>
      </w:r>
      <w:r w:rsidRPr="009B3B15">
        <w:rPr>
          <w:rFonts w:ascii="Arial" w:hAnsi="Arial" w:cs="Arial"/>
          <w:color w:val="000000"/>
          <w:szCs w:val="22"/>
        </w:rPr>
        <w:t xml:space="preserve"> not provide a simple administrative process by which licensees seek to avoi</w:t>
      </w:r>
      <w:r w:rsidR="00714236">
        <w:rPr>
          <w:rFonts w:cs="Arial"/>
          <w:color w:val="000000"/>
        </w:rPr>
        <w:t xml:space="preserve">d their captioning obligations. </w:t>
      </w:r>
      <w:r w:rsidRPr="009B3B15">
        <w:rPr>
          <w:rFonts w:ascii="Arial" w:hAnsi="Arial" w:cs="Arial"/>
          <w:color w:val="000000"/>
          <w:szCs w:val="22"/>
        </w:rPr>
        <w:t>In light of this we regard the granting of an exemption as an exceptional circumstance that is provided as a last resor</w:t>
      </w:r>
      <w:r w:rsidR="00714236">
        <w:rPr>
          <w:rFonts w:ascii="Arial" w:hAnsi="Arial" w:cs="Arial"/>
          <w:color w:val="000000"/>
          <w:szCs w:val="22"/>
        </w:rPr>
        <w:t>t and for a minimum timeframe. </w:t>
      </w:r>
      <w:r w:rsidRPr="009B3B15">
        <w:rPr>
          <w:rFonts w:ascii="Arial" w:hAnsi="Arial" w:cs="Arial"/>
          <w:color w:val="000000"/>
          <w:szCs w:val="22"/>
        </w:rPr>
        <w:t xml:space="preserve">In granting an exemption we believe that a full and public process outlining clear reasons for the temporary exemption should be provided so that both the public and Parliament are satisfied that it is truly exceptional circumstances.  </w:t>
      </w:r>
    </w:p>
    <w:p w:rsidR="001D27AF" w:rsidRDefault="001D27AF" w:rsidP="00114F2F">
      <w:pPr>
        <w:rPr>
          <w:rFonts w:ascii="Arial" w:hAnsi="Arial" w:cs="Arial"/>
          <w:color w:val="000000"/>
          <w:szCs w:val="22"/>
        </w:rPr>
      </w:pPr>
    </w:p>
    <w:p w:rsidR="00114F2F" w:rsidRDefault="00114F2F" w:rsidP="00114F2F">
      <w:pPr>
        <w:rPr>
          <w:rFonts w:ascii="Arial" w:hAnsi="Arial" w:cs="Arial"/>
          <w:color w:val="000000"/>
          <w:szCs w:val="22"/>
        </w:rPr>
      </w:pPr>
      <w:r w:rsidRPr="009B3B15">
        <w:rPr>
          <w:rFonts w:ascii="Arial" w:hAnsi="Arial" w:cs="Arial"/>
          <w:color w:val="000000"/>
          <w:szCs w:val="22"/>
        </w:rPr>
        <w:t>The processes undertaken in other jurisdictions, such as the UK and USA, which are outlined below, reflect the seriousness of excluding access to Deaf</w:t>
      </w:r>
      <w:r>
        <w:rPr>
          <w:rFonts w:cs="Arial"/>
          <w:color w:val="000000"/>
        </w:rPr>
        <w:t xml:space="preserve"> and hearing impaired viewers. </w:t>
      </w:r>
      <w:r w:rsidRPr="009B3B15">
        <w:rPr>
          <w:rFonts w:ascii="Arial" w:hAnsi="Arial" w:cs="Arial"/>
          <w:color w:val="000000"/>
          <w:szCs w:val="22"/>
        </w:rPr>
        <w:t>We would also expect that granting an exemption for any more than a 12-month period would not occur as the legislated process allows for a reapplication if the exceptional circumstances that may warrant an exemption in the publ</w:t>
      </w:r>
      <w:r w:rsidR="00714236">
        <w:rPr>
          <w:rFonts w:ascii="Arial" w:hAnsi="Arial" w:cs="Arial"/>
          <w:color w:val="000000"/>
          <w:szCs w:val="22"/>
        </w:rPr>
        <w:t>ic interest continue to exist. </w:t>
      </w:r>
      <w:r w:rsidRPr="009B3B15">
        <w:rPr>
          <w:rFonts w:ascii="Arial" w:hAnsi="Arial" w:cs="Arial"/>
          <w:color w:val="000000"/>
          <w:szCs w:val="22"/>
        </w:rPr>
        <w:t>By following such a process, the ACMA is making it clear that its expectation is that a licensee is doing everything within its capabilities to meet the legislated requirements that are a condition of a right to broadcast with a degree of exclusivity. </w:t>
      </w:r>
    </w:p>
    <w:p w:rsidR="00114F2F" w:rsidRPr="009B3B15" w:rsidRDefault="00114F2F" w:rsidP="00114F2F">
      <w:pPr>
        <w:rPr>
          <w:rFonts w:ascii="Arial" w:hAnsi="Arial" w:cs="Arial"/>
          <w:color w:val="000000"/>
          <w:szCs w:val="22"/>
        </w:rPr>
      </w:pPr>
      <w:r w:rsidRPr="009B3B15">
        <w:rPr>
          <w:rFonts w:ascii="Arial" w:hAnsi="Arial" w:cs="Arial"/>
          <w:color w:val="000000"/>
          <w:szCs w:val="22"/>
        </w:rPr>
        <w:t xml:space="preserve"> </w:t>
      </w:r>
    </w:p>
    <w:p w:rsidR="00114F2F" w:rsidRPr="00270801" w:rsidRDefault="00114F2F" w:rsidP="00114F2F">
      <w:pPr>
        <w:pStyle w:val="ListParagraph"/>
        <w:numPr>
          <w:ilvl w:val="0"/>
          <w:numId w:val="32"/>
        </w:numPr>
        <w:spacing w:after="200" w:line="276" w:lineRule="auto"/>
        <w:rPr>
          <w:b/>
        </w:rPr>
      </w:pPr>
      <w:r w:rsidRPr="00270801">
        <w:rPr>
          <w:b/>
        </w:rPr>
        <w:t>Costs</w:t>
      </w:r>
    </w:p>
    <w:p w:rsidR="00114F2F" w:rsidRDefault="0001596B" w:rsidP="00114F2F">
      <w:r>
        <w:t xml:space="preserve">The ACMA has granted </w:t>
      </w:r>
      <w:r w:rsidR="006E0328">
        <w:t>3</w:t>
      </w:r>
      <w:r w:rsidR="003C5F06">
        <w:t>4</w:t>
      </w:r>
      <w:r w:rsidR="00114F2F">
        <w:t xml:space="preserve"> preliminary exemption orders</w:t>
      </w:r>
      <w:r w:rsidR="006E0328">
        <w:t xml:space="preserve"> </w:t>
      </w:r>
      <w:r>
        <w:t xml:space="preserve">for </w:t>
      </w:r>
      <w:r w:rsidR="006E0328">
        <w:t>Telstra Pay TV</w:t>
      </w:r>
      <w:r w:rsidR="002C6225">
        <w:t>, noting that</w:t>
      </w:r>
      <w:r w:rsidR="00114F2F">
        <w:t xml:space="preserve"> </w:t>
      </w:r>
      <w:r w:rsidR="00C222CC">
        <w:t>captioning is not currently provided on its services. To crea</w:t>
      </w:r>
      <w:r w:rsidR="006E0328">
        <w:t>te the infrastructure to would impose financial costs which would make the service unviable</w:t>
      </w:r>
      <w:r w:rsidR="00C222CC">
        <w:t xml:space="preserve">, and therefore constitute “unjustifiable hardship”. However, the ACMA has not stated how it defines this, so there is no indication </w:t>
      </w:r>
      <w:r w:rsidR="006E0328">
        <w:t>of how profitable Telstra Pay TV</w:t>
      </w:r>
      <w:r w:rsidR="00C222CC">
        <w:t xml:space="preserve"> would need to become before it is required to deliver captioning. </w:t>
      </w:r>
    </w:p>
    <w:p w:rsidR="001D27AF" w:rsidRDefault="001D27AF" w:rsidP="00114F2F"/>
    <w:p w:rsidR="00114F2F" w:rsidRDefault="00114F2F" w:rsidP="00114F2F">
      <w:r>
        <w:t>In the UK, access requirements of broadcasters are set out in the communications regulator Ofcom’s ‘Code on Television Access Services’.</w:t>
      </w:r>
      <w:r>
        <w:rPr>
          <w:rStyle w:val="FootnoteReference"/>
        </w:rPr>
        <w:footnoteReference w:id="1"/>
      </w:r>
      <w:r>
        <w:t xml:space="preserve"> Ofcom determines whether a channel is required to </w:t>
      </w:r>
      <w:r>
        <w:lastRenderedPageBreak/>
        <w:t xml:space="preserve">provide access services (captioning, signing and audio description) by looking at audience share, </w:t>
      </w:r>
      <w:r w:rsidR="00714236">
        <w:t>and the cost of access services</w:t>
      </w:r>
      <w:r>
        <w:t xml:space="preserve"> compared to the ‘relevant turnover’</w:t>
      </w:r>
      <w:r>
        <w:rPr>
          <w:rStyle w:val="FootnoteReference"/>
        </w:rPr>
        <w:footnoteReference w:id="2"/>
      </w:r>
      <w:r>
        <w:t xml:space="preserve"> of the channel.</w:t>
      </w:r>
    </w:p>
    <w:p w:rsidR="001D27AF" w:rsidRDefault="001D27AF" w:rsidP="00114F2F"/>
    <w:p w:rsidR="00114F2F" w:rsidRDefault="00114F2F" w:rsidP="00114F2F">
      <w:r>
        <w:t>Any channel that has an audience share of less than 0.05% is exempt from access requirements.</w:t>
      </w:r>
    </w:p>
    <w:p w:rsidR="00114F2F" w:rsidRDefault="00114F2F" w:rsidP="00114F2F">
      <w:r>
        <w:t>If a channel is not exempt due to audience share, Ofcom will determine its access requirements based on what Ofcom has determined to be an average cost per hour of access services, compared to the turnover of the channel (or in the case of several channels owned by one company, the turnover of that company). There are three levels of access requirements. With regards to captioning, Level One is the full captioning target, Level Two is 66% of the target, and Level Three is 33% of the target. The target itself is determined by the number of years the channel had been broadcasting. In the first year of broadcast it is required to caption 10% of programs, and this rises to 80% in the tenth year.</w:t>
      </w:r>
    </w:p>
    <w:p w:rsidR="001D27AF" w:rsidRDefault="001D27AF" w:rsidP="00114F2F"/>
    <w:p w:rsidR="00114F2F" w:rsidRDefault="00114F2F" w:rsidP="00114F2F">
      <w:r>
        <w:t>Ofcom expects each channel (or channel owner) to provide access services to the highest level it can within a budget equating to 1% of their relevant turnover. Only those channels or channel owners which cannot achieve Level Three by spending this amount are exempt from access requirements.</w:t>
      </w:r>
    </w:p>
    <w:p w:rsidR="001D27AF" w:rsidRDefault="001D27AF" w:rsidP="00114F2F"/>
    <w:p w:rsidR="00114F2F" w:rsidRDefault="00114F2F" w:rsidP="00114F2F">
      <w:r>
        <w:t xml:space="preserve">In the US, the Federal Communications Commission </w:t>
      </w:r>
      <w:r w:rsidR="00844E4F">
        <w:t xml:space="preserve">(FCC) </w:t>
      </w:r>
      <w:r>
        <w:t xml:space="preserve">has determined that “No video programming provider shall be required to expend any money to caption any video programming if such expenditure would exceed 2% of the gross revenues received from that channel during the previous calendar year.” In addition to this, providers are generally exempt from captioning provisions if they </w:t>
      </w:r>
      <w:r w:rsidR="00714236">
        <w:t xml:space="preserve">have </w:t>
      </w:r>
      <w:r>
        <w:t>gross revenues of less than $3,000,000 during the previous calendar year.</w:t>
      </w:r>
      <w:r>
        <w:rPr>
          <w:rStyle w:val="FootnoteReference"/>
        </w:rPr>
        <w:footnoteReference w:id="3"/>
      </w:r>
    </w:p>
    <w:p w:rsidR="001D27AF" w:rsidRDefault="001D27AF" w:rsidP="00114F2F"/>
    <w:p w:rsidR="00114F2F" w:rsidRDefault="00114F2F" w:rsidP="00114F2F">
      <w:r>
        <w:t>In both the UK and US, these rules are clear, simple and publicly available. We submit that the ACMA also needs to make public the exact criteria which it is using to approve applications for exemptions or target reductions based on financial hardship or burden, so that consumers can be confident that a reasonable decision has been made.</w:t>
      </w:r>
    </w:p>
    <w:p w:rsidR="00114F2F" w:rsidRDefault="00114F2F" w:rsidP="00114F2F">
      <w:r>
        <w:t xml:space="preserve">  </w:t>
      </w:r>
    </w:p>
    <w:p w:rsidR="00C222CC" w:rsidRPr="007D57D0" w:rsidRDefault="00C222CC" w:rsidP="007D57D0">
      <w:pPr>
        <w:pStyle w:val="ListParagraph"/>
        <w:numPr>
          <w:ilvl w:val="0"/>
          <w:numId w:val="32"/>
        </w:numPr>
        <w:rPr>
          <w:b/>
        </w:rPr>
      </w:pPr>
      <w:r w:rsidRPr="007D57D0">
        <w:rPr>
          <w:b/>
        </w:rPr>
        <w:t>Future accessibility on the services</w:t>
      </w:r>
    </w:p>
    <w:p w:rsidR="00C222CC" w:rsidRDefault="00C222CC" w:rsidP="00114F2F"/>
    <w:p w:rsidR="00122C29" w:rsidRDefault="00CE55F6" w:rsidP="00BF2E29">
      <w:r>
        <w:t>The technology exists to provide</w:t>
      </w:r>
      <w:r w:rsidR="00844E4F">
        <w:t xml:space="preserve"> captions on mobile phones. </w:t>
      </w:r>
      <w:r w:rsidR="00910393">
        <w:t>In the United States</w:t>
      </w:r>
      <w:r w:rsidR="00844E4F">
        <w:t>, the FCC introduced rules on 29 October 2013 that make it compulsory  for all devices used to receive or play digital video – including smartphones – to receive and display captions.</w:t>
      </w:r>
      <w:r>
        <w:rPr>
          <w:rStyle w:val="FootnoteReference"/>
        </w:rPr>
        <w:footnoteReference w:id="4"/>
      </w:r>
      <w:r w:rsidR="00844E4F">
        <w:t xml:space="preserve"> </w:t>
      </w:r>
      <w:r>
        <w:t xml:space="preserve">These rules </w:t>
      </w:r>
      <w:r w:rsidR="002B245F">
        <w:t xml:space="preserve">put into effect one of the requirements of the </w:t>
      </w:r>
      <w:r w:rsidR="002B245F" w:rsidRPr="003C5F06">
        <w:rPr>
          <w:i/>
        </w:rPr>
        <w:t>21st Century Communications and Video Accessibility Act 2010</w:t>
      </w:r>
      <w:r w:rsidR="002B245F">
        <w:t xml:space="preserve">. The FCC </w:t>
      </w:r>
      <w:r w:rsidR="00683BB2">
        <w:t>also</w:t>
      </w:r>
      <w:r w:rsidR="002B245F">
        <w:t xml:space="preserve"> </w:t>
      </w:r>
      <w:r w:rsidR="00683BB2">
        <w:t xml:space="preserve">established </w:t>
      </w:r>
      <w:r w:rsidR="002B245F">
        <w:t>an online ‘Accessibility Clearinghouse’ which lists mobile devices that support closed captions.</w:t>
      </w:r>
      <w:r w:rsidR="002B245F">
        <w:rPr>
          <w:rStyle w:val="FootnoteReference"/>
        </w:rPr>
        <w:footnoteReference w:id="5"/>
      </w:r>
      <w:r w:rsidR="002B245F">
        <w:t xml:space="preserve"> </w:t>
      </w:r>
    </w:p>
    <w:p w:rsidR="009545DC" w:rsidRDefault="009545DC" w:rsidP="009545DC"/>
    <w:p w:rsidR="00BC285B" w:rsidRDefault="00BC285B" w:rsidP="00BC285B">
      <w:r>
        <w:t>We also note that Telstra has committed to introduce captions (and audio de</w:t>
      </w:r>
      <w:r>
        <w:t>scription) on the Telstra T-Box and other devices capable of downloading Telstra media content as part of its Disability Action Plan 2013-2016 (Commi</w:t>
      </w:r>
      <w:bookmarkStart w:id="2" w:name="_GoBack"/>
      <w:bookmarkEnd w:id="2"/>
      <w:r>
        <w:t>tment 1.1, page 5).</w:t>
      </w:r>
    </w:p>
    <w:p w:rsidR="00BC285B" w:rsidRDefault="00BC285B" w:rsidP="009545DC"/>
    <w:p w:rsidR="00683BB2" w:rsidRDefault="007558B4" w:rsidP="00683BB2">
      <w:r>
        <w:t>Since the ACMA granted Telstra Pay TV its previous exemption, it appears to have done little or no work towards providing captioning on its content, although the ACMA notes that it</w:t>
      </w:r>
      <w:r w:rsidR="00683BB2">
        <w:t xml:space="preserve"> has </w:t>
      </w:r>
      <w:r w:rsidR="00BC285B">
        <w:t xml:space="preserve">been </w:t>
      </w:r>
      <w:r w:rsidR="00683BB2">
        <w:t xml:space="preserve">advised that “its recent investment in technology might accommodate captioning in the future”. We believe </w:t>
      </w:r>
      <w:r w:rsidR="00683BB2">
        <w:lastRenderedPageBreak/>
        <w:t>that an exemption should only be granted after a firm commitment to introducing caption</w:t>
      </w:r>
      <w:r w:rsidR="003C5F06">
        <w:t>s</w:t>
      </w:r>
      <w:r w:rsidR="00683BB2">
        <w:t xml:space="preserve"> is made, and an estimated time for it to commence</w:t>
      </w:r>
      <w:r w:rsidR="003C5F06">
        <w:t xml:space="preserve"> has been given</w:t>
      </w:r>
      <w:r w:rsidR="00683BB2">
        <w:t>.</w:t>
      </w:r>
    </w:p>
    <w:p w:rsidR="007558B4" w:rsidRDefault="007558B4" w:rsidP="00683BB2"/>
    <w:p w:rsidR="00683BB2" w:rsidRPr="009545DC" w:rsidRDefault="00683BB2" w:rsidP="009545DC"/>
    <w:sectPr w:rsidR="00683BB2" w:rsidRPr="009545DC" w:rsidSect="00607546">
      <w:footerReference w:type="default" r:id="rId9"/>
      <w:pgSz w:w="11906" w:h="16838"/>
      <w:pgMar w:top="1440" w:right="1080" w:bottom="1440" w:left="1080"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2F" w:rsidRDefault="00114F2F" w:rsidP="00A7286E">
      <w:r>
        <w:separator/>
      </w:r>
    </w:p>
  </w:endnote>
  <w:endnote w:type="continuationSeparator" w:id="0">
    <w:p w:rsidR="00114F2F" w:rsidRDefault="00114F2F" w:rsidP="00A7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5817"/>
    </w:tblGrid>
    <w:tr w:rsidR="00694D6B" w:rsidTr="009E30DC">
      <w:tc>
        <w:tcPr>
          <w:tcW w:w="4603" w:type="dxa"/>
          <w:vAlign w:val="bottom"/>
        </w:tcPr>
        <w:p w:rsidR="00694D6B" w:rsidRDefault="00694D6B" w:rsidP="00CF3218">
          <w:pPr>
            <w:pStyle w:val="Footer"/>
            <w:spacing w:before="20"/>
          </w:pPr>
          <w:r>
            <w:rPr>
              <w:noProof/>
              <w:lang w:val="en-AU" w:eastAsia="en-AU"/>
            </w:rPr>
            <w:drawing>
              <wp:inline distT="0" distB="0" distL="0" distR="0" wp14:anchorId="1AE44A3A" wp14:editId="43004798">
                <wp:extent cx="1234578" cy="6480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ernal.png"/>
                        <pic:cNvPicPr/>
                      </pic:nvPicPr>
                      <pic:blipFill>
                        <a:blip r:embed="rId1">
                          <a:extLst>
                            <a:ext uri="{28A0092B-C50C-407E-A947-70E740481C1C}">
                              <a14:useLocalDpi xmlns:a14="http://schemas.microsoft.com/office/drawing/2010/main" val="0"/>
                            </a:ext>
                          </a:extLst>
                        </a:blip>
                        <a:stretch>
                          <a:fillRect/>
                        </a:stretch>
                      </pic:blipFill>
                      <pic:spPr>
                        <a:xfrm>
                          <a:off x="0" y="0"/>
                          <a:ext cx="1234578" cy="648000"/>
                        </a:xfrm>
                        <a:prstGeom prst="rect">
                          <a:avLst/>
                        </a:prstGeom>
                      </pic:spPr>
                    </pic:pic>
                  </a:graphicData>
                </a:graphic>
              </wp:inline>
            </w:drawing>
          </w:r>
        </w:p>
      </w:tc>
      <w:tc>
        <w:tcPr>
          <w:tcW w:w="5817" w:type="dxa"/>
          <w:vAlign w:val="bottom"/>
        </w:tcPr>
        <w:p w:rsidR="00694D6B" w:rsidRPr="00CF3218" w:rsidRDefault="00694D6B" w:rsidP="00CF3218">
          <w:pPr>
            <w:pStyle w:val="Footer"/>
            <w:jc w:val="right"/>
            <w:rPr>
              <w:noProof/>
              <w:sz w:val="18"/>
              <w:szCs w:val="18"/>
              <w:lang w:val="en-AU" w:eastAsia="en-AU"/>
            </w:rPr>
          </w:pPr>
          <w:r w:rsidRPr="00CF3218">
            <w:rPr>
              <w:noProof/>
              <w:color w:val="000000" w:themeColor="text2"/>
              <w:sz w:val="18"/>
              <w:szCs w:val="18"/>
              <w:lang w:val="en-AU" w:eastAsia="en-AU"/>
            </w:rPr>
            <w:fldChar w:fldCharType="begin"/>
          </w:r>
          <w:r w:rsidRPr="00CF3218">
            <w:rPr>
              <w:noProof/>
              <w:color w:val="000000" w:themeColor="text2"/>
              <w:sz w:val="18"/>
              <w:szCs w:val="18"/>
              <w:lang w:val="en-AU" w:eastAsia="en-AU"/>
            </w:rPr>
            <w:instrText xml:space="preserve"> PAGE   \* MERGEFORMAT </w:instrText>
          </w:r>
          <w:r w:rsidRPr="00CF3218">
            <w:rPr>
              <w:noProof/>
              <w:color w:val="000000" w:themeColor="text2"/>
              <w:sz w:val="18"/>
              <w:szCs w:val="18"/>
              <w:lang w:val="en-AU" w:eastAsia="en-AU"/>
            </w:rPr>
            <w:fldChar w:fldCharType="separate"/>
          </w:r>
          <w:r w:rsidR="00BC285B">
            <w:rPr>
              <w:noProof/>
              <w:color w:val="000000" w:themeColor="text2"/>
              <w:sz w:val="18"/>
              <w:szCs w:val="18"/>
              <w:lang w:val="en-AU" w:eastAsia="en-AU"/>
            </w:rPr>
            <w:t>1</w:t>
          </w:r>
          <w:r w:rsidRPr="00CF3218">
            <w:rPr>
              <w:noProof/>
              <w:color w:val="000000" w:themeColor="text2"/>
              <w:sz w:val="18"/>
              <w:szCs w:val="18"/>
              <w:lang w:val="en-AU" w:eastAsia="en-AU"/>
            </w:rPr>
            <w:fldChar w:fldCharType="end"/>
          </w:r>
        </w:p>
      </w:tc>
    </w:tr>
  </w:tbl>
  <w:p w:rsidR="00694D6B" w:rsidRPr="00CF3218" w:rsidRDefault="00694D6B" w:rsidP="00CF3218">
    <w:pPr>
      <w:pStyle w:val="1pixe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2F" w:rsidRDefault="00114F2F" w:rsidP="00A7286E">
      <w:r>
        <w:separator/>
      </w:r>
    </w:p>
  </w:footnote>
  <w:footnote w:type="continuationSeparator" w:id="0">
    <w:p w:rsidR="00114F2F" w:rsidRDefault="00114F2F" w:rsidP="00A7286E">
      <w:r>
        <w:continuationSeparator/>
      </w:r>
    </w:p>
  </w:footnote>
  <w:footnote w:id="1">
    <w:p w:rsidR="00114F2F" w:rsidRDefault="00114F2F" w:rsidP="00114F2F">
      <w:pPr>
        <w:pStyle w:val="FootnoteText"/>
      </w:pPr>
      <w:r>
        <w:rPr>
          <w:rStyle w:val="FootnoteReference"/>
        </w:rPr>
        <w:footnoteRef/>
      </w:r>
      <w:r>
        <w:t xml:space="preserve"> </w:t>
      </w:r>
      <w:hyperlink r:id="rId1" w:history="1">
        <w:r w:rsidRPr="007E7FDB">
          <w:rPr>
            <w:rStyle w:val="Hyperlink"/>
          </w:rPr>
          <w:t>http://stakeholders.ofcom.org.uk/broadcasting/broadcast-codes/tv-access-services/code-tv-access-services/</w:t>
        </w:r>
      </w:hyperlink>
    </w:p>
    <w:p w:rsidR="00114F2F" w:rsidRDefault="00114F2F" w:rsidP="00114F2F">
      <w:pPr>
        <w:pStyle w:val="FootnoteText"/>
      </w:pPr>
    </w:p>
  </w:footnote>
  <w:footnote w:id="2">
    <w:p w:rsidR="00114F2F" w:rsidRDefault="00114F2F" w:rsidP="00114F2F">
      <w:pPr>
        <w:pStyle w:val="FootnoteText"/>
      </w:pPr>
      <w:r>
        <w:rPr>
          <w:rStyle w:val="FootnoteReference"/>
        </w:rPr>
        <w:footnoteRef/>
      </w:r>
      <w:r>
        <w:t xml:space="preserve"> ‘Relevant turnover’ is defined here: </w:t>
      </w:r>
      <w:hyperlink r:id="rId2" w:history="1">
        <w:r w:rsidRPr="007E7FDB">
          <w:rPr>
            <w:rStyle w:val="Hyperlink"/>
          </w:rPr>
          <w:t>http://stakeholders.ofcom.org.uk/consultations/socp/main/?a=87101</w:t>
        </w:r>
      </w:hyperlink>
    </w:p>
  </w:footnote>
  <w:footnote w:id="3">
    <w:p w:rsidR="00114F2F" w:rsidRDefault="00114F2F" w:rsidP="00CE55F6">
      <w:r>
        <w:rPr>
          <w:rStyle w:val="FootnoteReference"/>
        </w:rPr>
        <w:footnoteRef/>
      </w:r>
      <w:r>
        <w:t xml:space="preserve"> </w:t>
      </w:r>
      <w:hyperlink r:id="rId3" w:history="1">
        <w:r w:rsidRPr="0012353F">
          <w:rPr>
            <w:rStyle w:val="Hyperlink"/>
            <w:sz w:val="20"/>
          </w:rPr>
          <w:t>http://transition.fcc.gov/cgb/dro/exemptions_from_cc_rules.html</w:t>
        </w:r>
      </w:hyperlink>
    </w:p>
  </w:footnote>
  <w:footnote w:id="4">
    <w:p w:rsidR="00CE55F6" w:rsidRDefault="00CE55F6">
      <w:pPr>
        <w:pStyle w:val="FootnoteText"/>
      </w:pPr>
      <w:r>
        <w:rPr>
          <w:rStyle w:val="FootnoteReference"/>
        </w:rPr>
        <w:footnoteRef/>
      </w:r>
      <w:r>
        <w:t xml:space="preserve"> </w:t>
      </w:r>
      <w:hyperlink r:id="rId4" w:history="1">
        <w:r w:rsidRPr="005831A3">
          <w:rPr>
            <w:rStyle w:val="Hyperlink"/>
          </w:rPr>
          <w:t>http://www.fcc.gov/document/fcc-adopts-new-video-accessibility-rules</w:t>
        </w:r>
      </w:hyperlink>
    </w:p>
  </w:footnote>
  <w:footnote w:id="5">
    <w:p w:rsidR="002B245F" w:rsidRDefault="002B245F">
      <w:pPr>
        <w:pStyle w:val="FootnoteText"/>
      </w:pPr>
      <w:r>
        <w:rPr>
          <w:rStyle w:val="FootnoteReference"/>
        </w:rPr>
        <w:footnoteRef/>
      </w:r>
      <w:r>
        <w:t xml:space="preserve"> </w:t>
      </w:r>
      <w:hyperlink r:id="rId5" w:history="1">
        <w:r w:rsidRPr="005831A3">
          <w:rPr>
            <w:rStyle w:val="Hyperlink"/>
          </w:rPr>
          <w:t>http://ach.fcc.gov/products-and-services/mobile-devices/region-na/all-manufacturer/all-blind-features/all-cognitive-features/all-hearing-features/all-mobility-features/all-physical-features/page-1-of-3/show-100/blind-or-visually-impaired</w:t>
        </w:r>
      </w:hyperlink>
    </w:p>
    <w:p w:rsidR="002B245F" w:rsidRDefault="002B245F">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1506"/>
    <w:multiLevelType w:val="hybridMultilevel"/>
    <w:tmpl w:val="6C22F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CD2E83"/>
    <w:multiLevelType w:val="hybridMultilevel"/>
    <w:tmpl w:val="3C18D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570285"/>
    <w:multiLevelType w:val="hybridMultilevel"/>
    <w:tmpl w:val="B50E67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37740D"/>
    <w:multiLevelType w:val="hybridMultilevel"/>
    <w:tmpl w:val="B9B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100E76"/>
    <w:multiLevelType w:val="hybridMultilevel"/>
    <w:tmpl w:val="DB5CD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7B48C8"/>
    <w:multiLevelType w:val="hybridMultilevel"/>
    <w:tmpl w:val="DE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26164A76"/>
    <w:multiLevelType w:val="hybridMultilevel"/>
    <w:tmpl w:val="A1A4AB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577C29"/>
    <w:multiLevelType w:val="hybridMultilevel"/>
    <w:tmpl w:val="1BBA2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FE1297"/>
    <w:multiLevelType w:val="hybridMultilevel"/>
    <w:tmpl w:val="BF4C8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9C535B"/>
    <w:multiLevelType w:val="hybridMultilevel"/>
    <w:tmpl w:val="4630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E71731"/>
    <w:multiLevelType w:val="hybridMultilevel"/>
    <w:tmpl w:val="D8360F9E"/>
    <w:lvl w:ilvl="0" w:tplc="0C090001">
      <w:start w:val="1"/>
      <w:numFmt w:val="bullet"/>
      <w:lvlText w:val=""/>
      <w:lvlJc w:val="left"/>
      <w:pPr>
        <w:ind w:left="776" w:hanging="360"/>
      </w:pPr>
      <w:rPr>
        <w:rFonts w:ascii="Symbol" w:hAnsi="Symbol" w:hint="default"/>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1">
    <w:nsid w:val="32565B78"/>
    <w:multiLevelType w:val="hybridMultilevel"/>
    <w:tmpl w:val="E0164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3EF20EC"/>
    <w:multiLevelType w:val="hybridMultilevel"/>
    <w:tmpl w:val="5492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4904089"/>
    <w:multiLevelType w:val="hybridMultilevel"/>
    <w:tmpl w:val="048C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CD644F"/>
    <w:multiLevelType w:val="hybridMultilevel"/>
    <w:tmpl w:val="E23CA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400E2C"/>
    <w:multiLevelType w:val="hybridMultilevel"/>
    <w:tmpl w:val="22764F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6734CC"/>
    <w:multiLevelType w:val="hybridMultilevel"/>
    <w:tmpl w:val="42820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A674F64"/>
    <w:multiLevelType w:val="hybridMultilevel"/>
    <w:tmpl w:val="C53E8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474183"/>
    <w:multiLevelType w:val="hybridMultilevel"/>
    <w:tmpl w:val="257C9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E35CF9"/>
    <w:multiLevelType w:val="hybridMultilevel"/>
    <w:tmpl w:val="2F183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33582B"/>
    <w:multiLevelType w:val="hybridMultilevel"/>
    <w:tmpl w:val="412ED8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1C149C9"/>
    <w:multiLevelType w:val="hybridMultilevel"/>
    <w:tmpl w:val="EB6C2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4B6AA8"/>
    <w:multiLevelType w:val="hybridMultilevel"/>
    <w:tmpl w:val="2056CE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42C038C"/>
    <w:multiLevelType w:val="hybridMultilevel"/>
    <w:tmpl w:val="83BC3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8B38EF"/>
    <w:multiLevelType w:val="hybridMultilevel"/>
    <w:tmpl w:val="DAAC7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3B03C89"/>
    <w:multiLevelType w:val="hybridMultilevel"/>
    <w:tmpl w:val="66703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084E4C"/>
    <w:multiLevelType w:val="hybridMultilevel"/>
    <w:tmpl w:val="01488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84753E"/>
    <w:multiLevelType w:val="hybridMultilevel"/>
    <w:tmpl w:val="36502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8046BC8"/>
    <w:multiLevelType w:val="hybridMultilevel"/>
    <w:tmpl w:val="E0164D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A886D9A"/>
    <w:multiLevelType w:val="hybridMultilevel"/>
    <w:tmpl w:val="EE2A7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D5C4EDF"/>
    <w:multiLevelType w:val="hybridMultilevel"/>
    <w:tmpl w:val="01800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DAA1377"/>
    <w:multiLevelType w:val="hybridMultilevel"/>
    <w:tmpl w:val="EA00B51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nsid w:val="634F16BC"/>
    <w:multiLevelType w:val="hybridMultilevel"/>
    <w:tmpl w:val="A3AA5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5A12BF7"/>
    <w:multiLevelType w:val="hybridMultilevel"/>
    <w:tmpl w:val="A3986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729625A"/>
    <w:multiLevelType w:val="hybridMultilevel"/>
    <w:tmpl w:val="A4ACEC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C1C2BE2"/>
    <w:multiLevelType w:val="hybridMultilevel"/>
    <w:tmpl w:val="5AA6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A444C12"/>
    <w:multiLevelType w:val="hybridMultilevel"/>
    <w:tmpl w:val="3C76E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
  </w:num>
  <w:num w:numId="4">
    <w:abstractNumId w:val="27"/>
  </w:num>
  <w:num w:numId="5">
    <w:abstractNumId w:val="1"/>
  </w:num>
  <w:num w:numId="6">
    <w:abstractNumId w:val="29"/>
  </w:num>
  <w:num w:numId="7">
    <w:abstractNumId w:val="31"/>
  </w:num>
  <w:num w:numId="8">
    <w:abstractNumId w:val="36"/>
  </w:num>
  <w:num w:numId="9">
    <w:abstractNumId w:val="10"/>
  </w:num>
  <w:num w:numId="10">
    <w:abstractNumId w:val="21"/>
  </w:num>
  <w:num w:numId="11">
    <w:abstractNumId w:val="17"/>
  </w:num>
  <w:num w:numId="12">
    <w:abstractNumId w:val="30"/>
  </w:num>
  <w:num w:numId="13">
    <w:abstractNumId w:val="13"/>
  </w:num>
  <w:num w:numId="14">
    <w:abstractNumId w:val="7"/>
  </w:num>
  <w:num w:numId="15">
    <w:abstractNumId w:val="24"/>
  </w:num>
  <w:num w:numId="16">
    <w:abstractNumId w:val="35"/>
  </w:num>
  <w:num w:numId="17">
    <w:abstractNumId w:val="25"/>
  </w:num>
  <w:num w:numId="18">
    <w:abstractNumId w:val="33"/>
  </w:num>
  <w:num w:numId="19">
    <w:abstractNumId w:val="15"/>
  </w:num>
  <w:num w:numId="20">
    <w:abstractNumId w:val="12"/>
  </w:num>
  <w:num w:numId="21">
    <w:abstractNumId w:val="32"/>
  </w:num>
  <w:num w:numId="22">
    <w:abstractNumId w:val="14"/>
  </w:num>
  <w:num w:numId="23">
    <w:abstractNumId w:val="19"/>
  </w:num>
  <w:num w:numId="24">
    <w:abstractNumId w:val="2"/>
  </w:num>
  <w:num w:numId="25">
    <w:abstractNumId w:val="34"/>
  </w:num>
  <w:num w:numId="26">
    <w:abstractNumId w:val="18"/>
  </w:num>
  <w:num w:numId="27">
    <w:abstractNumId w:val="0"/>
  </w:num>
  <w:num w:numId="28">
    <w:abstractNumId w:val="4"/>
  </w:num>
  <w:num w:numId="29">
    <w:abstractNumId w:val="22"/>
  </w:num>
  <w:num w:numId="30">
    <w:abstractNumId w:val="8"/>
  </w:num>
  <w:num w:numId="31">
    <w:abstractNumId w:val="16"/>
  </w:num>
  <w:num w:numId="32">
    <w:abstractNumId w:val="11"/>
  </w:num>
  <w:num w:numId="33">
    <w:abstractNumId w:val="5"/>
  </w:num>
  <w:num w:numId="34">
    <w:abstractNumId w:val="23"/>
  </w:num>
  <w:num w:numId="35">
    <w:abstractNumId w:val="28"/>
  </w:num>
  <w:num w:numId="36">
    <w:abstractNumId w:val="9"/>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F2F"/>
    <w:rsid w:val="00012921"/>
    <w:rsid w:val="00014594"/>
    <w:rsid w:val="0001596B"/>
    <w:rsid w:val="000353EE"/>
    <w:rsid w:val="00075800"/>
    <w:rsid w:val="00075D3F"/>
    <w:rsid w:val="00077124"/>
    <w:rsid w:val="00085B2A"/>
    <w:rsid w:val="00086DF8"/>
    <w:rsid w:val="00114F2F"/>
    <w:rsid w:val="00122C29"/>
    <w:rsid w:val="00164128"/>
    <w:rsid w:val="00173238"/>
    <w:rsid w:val="00181B99"/>
    <w:rsid w:val="001A5E64"/>
    <w:rsid w:val="001D27AF"/>
    <w:rsid w:val="001E742A"/>
    <w:rsid w:val="001F01E2"/>
    <w:rsid w:val="001F3C58"/>
    <w:rsid w:val="00216EB1"/>
    <w:rsid w:val="00241C47"/>
    <w:rsid w:val="00247FCA"/>
    <w:rsid w:val="00272A5D"/>
    <w:rsid w:val="002749D4"/>
    <w:rsid w:val="00280467"/>
    <w:rsid w:val="002A4B22"/>
    <w:rsid w:val="002B245F"/>
    <w:rsid w:val="002C6225"/>
    <w:rsid w:val="002D712F"/>
    <w:rsid w:val="00311D98"/>
    <w:rsid w:val="00321AB1"/>
    <w:rsid w:val="003B2D7A"/>
    <w:rsid w:val="003B4A83"/>
    <w:rsid w:val="003C3F31"/>
    <w:rsid w:val="003C5F06"/>
    <w:rsid w:val="00431598"/>
    <w:rsid w:val="0043382F"/>
    <w:rsid w:val="00446881"/>
    <w:rsid w:val="00467752"/>
    <w:rsid w:val="00475D65"/>
    <w:rsid w:val="004A0EB2"/>
    <w:rsid w:val="004A2A2E"/>
    <w:rsid w:val="004D50E6"/>
    <w:rsid w:val="004F659A"/>
    <w:rsid w:val="00502293"/>
    <w:rsid w:val="005A5E8E"/>
    <w:rsid w:val="005A74E3"/>
    <w:rsid w:val="005D67C4"/>
    <w:rsid w:val="005F34CB"/>
    <w:rsid w:val="00603ED1"/>
    <w:rsid w:val="00607546"/>
    <w:rsid w:val="00636E3A"/>
    <w:rsid w:val="00683BB2"/>
    <w:rsid w:val="00694D6B"/>
    <w:rsid w:val="006954CA"/>
    <w:rsid w:val="006D4D51"/>
    <w:rsid w:val="006E0328"/>
    <w:rsid w:val="006E134B"/>
    <w:rsid w:val="006E29C5"/>
    <w:rsid w:val="00712D5D"/>
    <w:rsid w:val="007132CC"/>
    <w:rsid w:val="00714236"/>
    <w:rsid w:val="00720F3F"/>
    <w:rsid w:val="00721D8A"/>
    <w:rsid w:val="00752FBD"/>
    <w:rsid w:val="007558B4"/>
    <w:rsid w:val="007753F4"/>
    <w:rsid w:val="00784F29"/>
    <w:rsid w:val="0079623D"/>
    <w:rsid w:val="007A2AA4"/>
    <w:rsid w:val="007B72FE"/>
    <w:rsid w:val="007D57D0"/>
    <w:rsid w:val="00805CE4"/>
    <w:rsid w:val="00836AE6"/>
    <w:rsid w:val="00844E4F"/>
    <w:rsid w:val="00846B28"/>
    <w:rsid w:val="0087126B"/>
    <w:rsid w:val="00891A46"/>
    <w:rsid w:val="008B5145"/>
    <w:rsid w:val="008D41A7"/>
    <w:rsid w:val="008E4CDB"/>
    <w:rsid w:val="008F0C7A"/>
    <w:rsid w:val="00901ED7"/>
    <w:rsid w:val="00910393"/>
    <w:rsid w:val="00932044"/>
    <w:rsid w:val="00943774"/>
    <w:rsid w:val="009545DC"/>
    <w:rsid w:val="00954C50"/>
    <w:rsid w:val="00984F88"/>
    <w:rsid w:val="009E30DC"/>
    <w:rsid w:val="00A30A1F"/>
    <w:rsid w:val="00A318C9"/>
    <w:rsid w:val="00A532CF"/>
    <w:rsid w:val="00A540D8"/>
    <w:rsid w:val="00A7130F"/>
    <w:rsid w:val="00A7286E"/>
    <w:rsid w:val="00AC2CB4"/>
    <w:rsid w:val="00AF5B9F"/>
    <w:rsid w:val="00B00D12"/>
    <w:rsid w:val="00B25341"/>
    <w:rsid w:val="00B3186D"/>
    <w:rsid w:val="00B91259"/>
    <w:rsid w:val="00B93F2B"/>
    <w:rsid w:val="00BA3896"/>
    <w:rsid w:val="00BC285B"/>
    <w:rsid w:val="00BE2ACF"/>
    <w:rsid w:val="00BF2E29"/>
    <w:rsid w:val="00BF3C37"/>
    <w:rsid w:val="00C222CC"/>
    <w:rsid w:val="00C50B7F"/>
    <w:rsid w:val="00CA02D5"/>
    <w:rsid w:val="00CC43F4"/>
    <w:rsid w:val="00CC794E"/>
    <w:rsid w:val="00CE55F6"/>
    <w:rsid w:val="00CF3218"/>
    <w:rsid w:val="00CF3F4D"/>
    <w:rsid w:val="00CF48C6"/>
    <w:rsid w:val="00D053E7"/>
    <w:rsid w:val="00D25904"/>
    <w:rsid w:val="00D25C2B"/>
    <w:rsid w:val="00D32CC7"/>
    <w:rsid w:val="00DD21ED"/>
    <w:rsid w:val="00DD5289"/>
    <w:rsid w:val="00DE3EE1"/>
    <w:rsid w:val="00E200FA"/>
    <w:rsid w:val="00E53F2A"/>
    <w:rsid w:val="00E62C35"/>
    <w:rsid w:val="00E67D13"/>
    <w:rsid w:val="00EE5CDC"/>
    <w:rsid w:val="00F14E00"/>
    <w:rsid w:val="00F526BB"/>
    <w:rsid w:val="00F5788A"/>
    <w:rsid w:val="00F671AA"/>
    <w:rsid w:val="00F67A25"/>
    <w:rsid w:val="00F717AB"/>
    <w:rsid w:val="00F71C02"/>
    <w:rsid w:val="00F90E59"/>
    <w:rsid w:val="00FD47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outlineLvl w:val="1"/>
    </w:pPr>
    <w:rPr>
      <w:sz w:val="32"/>
      <w:szCs w:val="24"/>
    </w:rPr>
  </w:style>
  <w:style w:type="paragraph" w:styleId="Heading3">
    <w:name w:val="heading 3"/>
    <w:basedOn w:val="Normal"/>
    <w:next w:val="Normal"/>
    <w:link w:val="Heading3Char"/>
    <w:uiPriority w:val="3"/>
    <w:qFormat/>
    <w:rsid w:val="00DE3EE1"/>
    <w:pPr>
      <w:spacing w:before="200"/>
      <w:outlineLvl w:val="2"/>
    </w:pPr>
    <w:rPr>
      <w:b/>
      <w:sz w:val="28"/>
    </w:rPr>
  </w:style>
  <w:style w:type="paragraph" w:styleId="Heading4">
    <w:name w:val="heading 4"/>
    <w:basedOn w:val="Normal"/>
    <w:next w:val="Normal"/>
    <w:link w:val="Heading4Char"/>
    <w:uiPriority w:val="4"/>
    <w:qFormat/>
    <w:rsid w:val="00DE3EE1"/>
    <w:pPr>
      <w:keepNext/>
      <w:keepLines/>
      <w:spacing w:before="20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Spacing">
    <w:name w:val="No Spacing"/>
    <w:link w:val="NoSpacingChar"/>
    <w:uiPriority w:val="1"/>
    <w:qFormat/>
    <w:rsid w:val="00114F2F"/>
    <w:rPr>
      <w:rFonts w:ascii="Arial" w:hAnsi="Arial"/>
    </w:rPr>
  </w:style>
  <w:style w:type="character" w:customStyle="1" w:styleId="NoSpacingChar">
    <w:name w:val="No Spacing Char"/>
    <w:basedOn w:val="DefaultParagraphFont"/>
    <w:link w:val="NoSpacing"/>
    <w:uiPriority w:val="1"/>
    <w:rsid w:val="00114F2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C794E"/>
    <w:rPr>
      <w:szCs w:val="20"/>
    </w:rPr>
  </w:style>
  <w:style w:type="paragraph" w:styleId="Heading1">
    <w:name w:val="heading 1"/>
    <w:basedOn w:val="Normal"/>
    <w:next w:val="Normal"/>
    <w:link w:val="Heading1Char"/>
    <w:uiPriority w:val="1"/>
    <w:qFormat/>
    <w:rsid w:val="00DE3EE1"/>
    <w:pPr>
      <w:spacing w:before="480"/>
      <w:contextualSpacing/>
      <w:outlineLvl w:val="0"/>
    </w:pPr>
    <w:rPr>
      <w:color w:val="000000" w:themeColor="text2"/>
      <w:sz w:val="48"/>
      <w:szCs w:val="40"/>
    </w:rPr>
  </w:style>
  <w:style w:type="paragraph" w:styleId="Heading2">
    <w:name w:val="heading 2"/>
    <w:basedOn w:val="Normal"/>
    <w:next w:val="Normal"/>
    <w:link w:val="Heading2Char"/>
    <w:uiPriority w:val="2"/>
    <w:qFormat/>
    <w:rsid w:val="00DE3EE1"/>
    <w:pPr>
      <w:spacing w:before="200"/>
      <w:outlineLvl w:val="1"/>
    </w:pPr>
    <w:rPr>
      <w:sz w:val="32"/>
      <w:szCs w:val="24"/>
    </w:rPr>
  </w:style>
  <w:style w:type="paragraph" w:styleId="Heading3">
    <w:name w:val="heading 3"/>
    <w:basedOn w:val="Normal"/>
    <w:next w:val="Normal"/>
    <w:link w:val="Heading3Char"/>
    <w:uiPriority w:val="3"/>
    <w:qFormat/>
    <w:rsid w:val="00DE3EE1"/>
    <w:pPr>
      <w:spacing w:before="200"/>
      <w:outlineLvl w:val="2"/>
    </w:pPr>
    <w:rPr>
      <w:b/>
      <w:sz w:val="28"/>
    </w:rPr>
  </w:style>
  <w:style w:type="paragraph" w:styleId="Heading4">
    <w:name w:val="heading 4"/>
    <w:basedOn w:val="Normal"/>
    <w:next w:val="Normal"/>
    <w:link w:val="Heading4Char"/>
    <w:uiPriority w:val="4"/>
    <w:qFormat/>
    <w:rsid w:val="00DE3EE1"/>
    <w:pPr>
      <w:keepNext/>
      <w:keepLines/>
      <w:spacing w:before="200"/>
      <w:outlineLvl w:val="3"/>
    </w:pPr>
    <w:rPr>
      <w:rFonts w:asciiTheme="majorHAnsi" w:eastAsiaTheme="majorEastAsia" w:hAnsiTheme="majorHAnsi" w:cstheme="majorBidi"/>
      <w:b/>
      <w:bCs/>
      <w:iCs/>
      <w:color w:val="000000" w:themeColor="accent1"/>
      <w:sz w:val="23"/>
    </w:rPr>
  </w:style>
  <w:style w:type="paragraph" w:styleId="Heading5">
    <w:name w:val="heading 5"/>
    <w:basedOn w:val="Normal"/>
    <w:next w:val="Normal"/>
    <w:link w:val="Heading5Char"/>
    <w:uiPriority w:val="5"/>
    <w:qFormat/>
    <w:rsid w:val="00DD21ED"/>
    <w:pPr>
      <w:keepNext/>
      <w:keepLines/>
      <w:spacing w:before="200"/>
      <w:outlineLvl w:val="4"/>
    </w:pPr>
    <w:rPr>
      <w:rFonts w:asciiTheme="majorHAnsi" w:eastAsiaTheme="majorEastAsia" w:hAnsiTheme="majorHAnsi" w:cstheme="majorBidi"/>
      <w:b/>
      <w:i/>
      <w:color w:val="000000" w:themeColor="accent1" w:themeShade="7F"/>
    </w:rPr>
  </w:style>
  <w:style w:type="paragraph" w:styleId="Heading6">
    <w:name w:val="heading 6"/>
    <w:basedOn w:val="Normal"/>
    <w:next w:val="Normal"/>
    <w:link w:val="Heading6Char"/>
    <w:uiPriority w:val="6"/>
    <w:unhideWhenUsed/>
    <w:rsid w:val="00012921"/>
    <w:pPr>
      <w:keepNext/>
      <w:keepLines/>
      <w:spacing w:before="200"/>
      <w:outlineLvl w:val="5"/>
    </w:pPr>
    <w:rPr>
      <w:rFonts w:asciiTheme="majorHAnsi" w:eastAsiaTheme="majorEastAsia" w:hAnsiTheme="majorHAnsi" w:cstheme="majorBidi"/>
      <w:iCs/>
      <w:color w:val="00000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94D6B"/>
    <w:rPr>
      <w:color w:val="000000" w:themeColor="text2"/>
      <w:sz w:val="48"/>
      <w:szCs w:val="40"/>
    </w:rPr>
  </w:style>
  <w:style w:type="character" w:customStyle="1" w:styleId="Heading2Char">
    <w:name w:val="Heading 2 Char"/>
    <w:basedOn w:val="DefaultParagraphFont"/>
    <w:link w:val="Heading2"/>
    <w:uiPriority w:val="2"/>
    <w:rsid w:val="00CC794E"/>
    <w:rPr>
      <w:sz w:val="32"/>
      <w:szCs w:val="24"/>
    </w:rPr>
  </w:style>
  <w:style w:type="character" w:customStyle="1" w:styleId="Heading3Char">
    <w:name w:val="Heading 3 Char"/>
    <w:basedOn w:val="DefaultParagraphFont"/>
    <w:link w:val="Heading3"/>
    <w:uiPriority w:val="3"/>
    <w:rsid w:val="00CC794E"/>
    <w:rPr>
      <w:b/>
      <w:sz w:val="28"/>
      <w:szCs w:val="20"/>
    </w:rPr>
  </w:style>
  <w:style w:type="table" w:customStyle="1" w:styleId="EYStandardtable-grey">
    <w:name w:val="EY Standard table - grey"/>
    <w:basedOn w:val="TableNormal"/>
    <w:uiPriority w:val="99"/>
    <w:rsid w:val="00DD5289"/>
    <w:rPr>
      <w:rFonts w:ascii="Times New Roman" w:eastAsia="Times New Roman" w:hAnsi="Times New Roman" w:cs="Times New Roman"/>
      <w:sz w:val="20"/>
      <w:szCs w:val="20"/>
      <w:lang w:eastAsia="en-AU"/>
    </w:rPr>
    <w:tblPr>
      <w:tblInd w:w="0" w:type="dxa"/>
      <w:tblBorders>
        <w:insideH w:val="single" w:sz="4" w:space="0" w:color="999999" w:themeColor="accent2"/>
      </w:tblBorders>
      <w:tblCellMar>
        <w:top w:w="0" w:type="dxa"/>
        <w:left w:w="108" w:type="dxa"/>
        <w:bottom w:w="0" w:type="dxa"/>
        <w:right w:w="108" w:type="dxa"/>
      </w:tblCellMar>
    </w:tblPr>
    <w:tblStylePr w:type="firstRow">
      <w:tblPr/>
      <w:tcPr>
        <w:tcBorders>
          <w:top w:val="nil"/>
          <w:left w:val="nil"/>
          <w:bottom w:val="nil"/>
          <w:right w:val="nil"/>
          <w:insideH w:val="single" w:sz="18" w:space="0" w:color="FFFFFF" w:themeColor="background1"/>
          <w:insideV w:val="single" w:sz="18" w:space="0" w:color="FFFFFF" w:themeColor="background1"/>
          <w:tl2br w:val="nil"/>
          <w:tr2bl w:val="nil"/>
        </w:tcBorders>
        <w:shd w:val="clear" w:color="auto" w:fill="000000" w:themeFill="accent1"/>
      </w:tcPr>
    </w:tblStylePr>
  </w:style>
  <w:style w:type="table" w:customStyle="1" w:styleId="PHAROSShadedText">
    <w:name w:val="PHAROS Shaded Text"/>
    <w:basedOn w:val="TableNormal"/>
    <w:uiPriority w:val="99"/>
    <w:rsid w:val="00085B2A"/>
    <w:tblPr>
      <w:tblInd w:w="0" w:type="dxa"/>
      <w:tblCellMar>
        <w:top w:w="142" w:type="dxa"/>
        <w:left w:w="142" w:type="dxa"/>
        <w:bottom w:w="0" w:type="dxa"/>
        <w:right w:w="142" w:type="dxa"/>
      </w:tblCellMar>
    </w:tblPr>
    <w:tcPr>
      <w:shd w:val="clear" w:color="auto" w:fill="E6EAEE"/>
    </w:tcPr>
  </w:style>
  <w:style w:type="paragraph" w:styleId="BalloonText">
    <w:name w:val="Balloon Text"/>
    <w:basedOn w:val="Normal"/>
    <w:link w:val="BalloonTextChar"/>
    <w:uiPriority w:val="99"/>
    <w:semiHidden/>
    <w:unhideWhenUsed/>
    <w:rsid w:val="00A318C9"/>
    <w:rPr>
      <w:rFonts w:ascii="Tahoma" w:hAnsi="Tahoma" w:cs="Tahoma"/>
      <w:sz w:val="16"/>
      <w:szCs w:val="16"/>
    </w:rPr>
  </w:style>
  <w:style w:type="character" w:customStyle="1" w:styleId="BalloonTextChar">
    <w:name w:val="Balloon Text Char"/>
    <w:basedOn w:val="DefaultParagraphFont"/>
    <w:link w:val="BalloonText"/>
    <w:uiPriority w:val="99"/>
    <w:semiHidden/>
    <w:rsid w:val="00A318C9"/>
    <w:rPr>
      <w:rFonts w:ascii="Tahoma" w:hAnsi="Tahoma" w:cs="Tahoma"/>
      <w:sz w:val="16"/>
      <w:szCs w:val="16"/>
    </w:rPr>
  </w:style>
  <w:style w:type="paragraph" w:styleId="Header">
    <w:name w:val="header"/>
    <w:basedOn w:val="Normal"/>
    <w:link w:val="HeaderChar"/>
    <w:uiPriority w:val="99"/>
    <w:unhideWhenUsed/>
    <w:rsid w:val="00A7286E"/>
    <w:pPr>
      <w:spacing w:after="1680" w:line="840" w:lineRule="exact"/>
    </w:pPr>
    <w:rPr>
      <w:caps/>
      <w:color w:val="000000" w:themeColor="text2"/>
      <w:sz w:val="84"/>
      <w:szCs w:val="84"/>
    </w:rPr>
  </w:style>
  <w:style w:type="character" w:customStyle="1" w:styleId="HeaderChar">
    <w:name w:val="Header Char"/>
    <w:basedOn w:val="DefaultParagraphFont"/>
    <w:link w:val="Header"/>
    <w:uiPriority w:val="99"/>
    <w:rsid w:val="00A7286E"/>
    <w:rPr>
      <w:caps/>
      <w:color w:val="000000" w:themeColor="text2"/>
      <w:sz w:val="84"/>
      <w:szCs w:val="84"/>
    </w:rPr>
  </w:style>
  <w:style w:type="paragraph" w:styleId="Footer">
    <w:name w:val="footer"/>
    <w:basedOn w:val="Normal"/>
    <w:link w:val="FooterChar"/>
    <w:uiPriority w:val="99"/>
    <w:unhideWhenUsed/>
    <w:rsid w:val="00B93F2B"/>
    <w:pPr>
      <w:tabs>
        <w:tab w:val="left" w:pos="255"/>
      </w:tabs>
      <w:autoSpaceDE w:val="0"/>
      <w:autoSpaceDN w:val="0"/>
      <w:adjustRightInd w:val="0"/>
      <w:spacing w:after="113" w:line="200" w:lineRule="atLeast"/>
      <w:textAlignment w:val="center"/>
    </w:pPr>
    <w:rPr>
      <w:rFonts w:asciiTheme="majorHAnsi" w:hAnsiTheme="majorHAnsi" w:cstheme="majorHAnsi"/>
      <w:color w:val="595959" w:themeColor="text1" w:themeTint="A6"/>
      <w:sz w:val="14"/>
      <w:szCs w:val="14"/>
      <w:lang w:val="en-US"/>
    </w:rPr>
  </w:style>
  <w:style w:type="character" w:customStyle="1" w:styleId="FooterChar">
    <w:name w:val="Footer Char"/>
    <w:basedOn w:val="DefaultParagraphFont"/>
    <w:link w:val="Footer"/>
    <w:uiPriority w:val="99"/>
    <w:rsid w:val="00B93F2B"/>
    <w:rPr>
      <w:rFonts w:asciiTheme="majorHAnsi" w:hAnsiTheme="majorHAnsi" w:cstheme="majorHAnsi"/>
      <w:color w:val="595959" w:themeColor="text1" w:themeTint="A6"/>
      <w:sz w:val="14"/>
      <w:szCs w:val="14"/>
      <w:lang w:val="en-US"/>
    </w:rPr>
  </w:style>
  <w:style w:type="paragraph" w:customStyle="1" w:styleId="1pixel">
    <w:name w:val="1 pixel"/>
    <w:basedOn w:val="Footer"/>
    <w:uiPriority w:val="29"/>
    <w:rsid w:val="00164128"/>
    <w:pPr>
      <w:spacing w:after="0" w:line="240" w:lineRule="auto"/>
    </w:pPr>
    <w:rPr>
      <w:sz w:val="2"/>
      <w:szCs w:val="2"/>
    </w:rPr>
  </w:style>
  <w:style w:type="character" w:styleId="Hyperlink">
    <w:name w:val="Hyperlink"/>
    <w:basedOn w:val="DefaultParagraphFont"/>
    <w:uiPriority w:val="99"/>
    <w:rsid w:val="004A0EB2"/>
    <w:rPr>
      <w:color w:val="000000" w:themeColor="text2"/>
      <w:u w:val="single" w:color="000000" w:themeColor="text2"/>
    </w:rPr>
  </w:style>
  <w:style w:type="table" w:styleId="TableGrid">
    <w:name w:val="Table Grid"/>
    <w:basedOn w:val="TableNormal"/>
    <w:uiPriority w:val="59"/>
    <w:rsid w:val="00954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portTitle">
    <w:name w:val="Report Title"/>
    <w:basedOn w:val="Normal"/>
    <w:uiPriority w:val="7"/>
    <w:qFormat/>
    <w:rsid w:val="000353EE"/>
    <w:pPr>
      <w:spacing w:line="920" w:lineRule="exact"/>
      <w:ind w:right="51"/>
    </w:pPr>
    <w:rPr>
      <w:noProof/>
      <w:color w:val="FFFFFF" w:themeColor="background1"/>
      <w:sz w:val="76"/>
      <w:szCs w:val="96"/>
      <w:lang w:eastAsia="en-AU"/>
    </w:rPr>
  </w:style>
  <w:style w:type="paragraph" w:customStyle="1" w:styleId="ReportSubtitle">
    <w:name w:val="Report Subtitle"/>
    <w:basedOn w:val="ReportTitle"/>
    <w:uiPriority w:val="8"/>
    <w:qFormat/>
    <w:rsid w:val="000353EE"/>
    <w:pPr>
      <w:spacing w:before="280" w:line="240" w:lineRule="auto"/>
    </w:pPr>
    <w:rPr>
      <w:sz w:val="48"/>
      <w:szCs w:val="48"/>
    </w:rPr>
  </w:style>
  <w:style w:type="paragraph" w:customStyle="1" w:styleId="Pull-outHeading">
    <w:name w:val="Pull-out Heading"/>
    <w:basedOn w:val="Normal"/>
    <w:uiPriority w:val="13"/>
    <w:qFormat/>
    <w:rsid w:val="00CC794E"/>
    <w:pPr>
      <w:pBdr>
        <w:top w:val="single" w:sz="12" w:space="10" w:color="313133"/>
        <w:left w:val="single" w:sz="12" w:space="10" w:color="313133"/>
        <w:bottom w:val="single" w:sz="12" w:space="10" w:color="313133"/>
        <w:right w:val="single" w:sz="12" w:space="10" w:color="313133"/>
      </w:pBdr>
      <w:spacing w:after="60"/>
      <w:ind w:left="227" w:right="227"/>
    </w:pPr>
    <w:rPr>
      <w:b/>
      <w:color w:val="000000" w:themeColor="text2"/>
      <w:sz w:val="28"/>
    </w:rPr>
  </w:style>
  <w:style w:type="paragraph" w:customStyle="1" w:styleId="Pull-outSubheading">
    <w:name w:val="Pull-out Subheading"/>
    <w:basedOn w:val="Pull-outHeading"/>
    <w:uiPriority w:val="14"/>
    <w:qFormat/>
    <w:rsid w:val="00CC794E"/>
    <w:pPr>
      <w:spacing w:after="120"/>
    </w:pPr>
    <w:rPr>
      <w:i/>
      <w:color w:val="auto"/>
      <w:sz w:val="24"/>
    </w:rPr>
  </w:style>
  <w:style w:type="paragraph" w:customStyle="1" w:styleId="Pull-outText">
    <w:name w:val="Pull-out Text"/>
    <w:basedOn w:val="Pull-outSubheading"/>
    <w:uiPriority w:val="16"/>
    <w:qFormat/>
    <w:rsid w:val="002D712F"/>
    <w:rPr>
      <w:b w:val="0"/>
      <w:i w:val="0"/>
      <w:sz w:val="22"/>
    </w:rPr>
  </w:style>
  <w:style w:type="paragraph" w:customStyle="1" w:styleId="PageNumber1">
    <w:name w:val="Page Number1"/>
    <w:basedOn w:val="Footer"/>
    <w:uiPriority w:val="17"/>
    <w:qFormat/>
    <w:rsid w:val="008F0C7A"/>
    <w:pPr>
      <w:jc w:val="right"/>
    </w:pPr>
    <w:rPr>
      <w:noProof/>
      <w:color w:val="000000" w:themeColor="text2"/>
      <w:sz w:val="18"/>
      <w:szCs w:val="18"/>
      <w:lang w:val="en-AU" w:eastAsia="en-AU"/>
    </w:rPr>
  </w:style>
  <w:style w:type="paragraph" w:styleId="TOCHeading">
    <w:name w:val="TOC Heading"/>
    <w:basedOn w:val="Heading1"/>
    <w:next w:val="Normal"/>
    <w:uiPriority w:val="39"/>
    <w:unhideWhenUsed/>
    <w:qFormat/>
    <w:rsid w:val="008F0C7A"/>
    <w:pPr>
      <w:keepNext/>
      <w:keepLines/>
      <w:outlineLvl w:val="9"/>
    </w:pPr>
    <w:rPr>
      <w:rFonts w:eastAsiaTheme="majorEastAsia" w:cstheme="majorBidi"/>
      <w:bCs/>
      <w:szCs w:val="28"/>
      <w:lang w:val="en-US" w:eastAsia="ja-JP"/>
    </w:rPr>
  </w:style>
  <w:style w:type="paragraph" w:styleId="TOC1">
    <w:name w:val="toc 1"/>
    <w:basedOn w:val="Normal"/>
    <w:next w:val="Normal"/>
    <w:autoRedefine/>
    <w:uiPriority w:val="39"/>
    <w:unhideWhenUsed/>
    <w:rsid w:val="00F67A25"/>
    <w:pPr>
      <w:spacing w:after="100"/>
    </w:pPr>
  </w:style>
  <w:style w:type="paragraph" w:styleId="TOC2">
    <w:name w:val="toc 2"/>
    <w:basedOn w:val="Normal"/>
    <w:next w:val="Normal"/>
    <w:autoRedefine/>
    <w:uiPriority w:val="39"/>
    <w:unhideWhenUsed/>
    <w:rsid w:val="00F67A25"/>
    <w:pPr>
      <w:spacing w:after="100"/>
      <w:ind w:left="200"/>
    </w:pPr>
  </w:style>
  <w:style w:type="paragraph" w:styleId="TOC3">
    <w:name w:val="toc 3"/>
    <w:basedOn w:val="Normal"/>
    <w:next w:val="Normal"/>
    <w:autoRedefine/>
    <w:uiPriority w:val="39"/>
    <w:unhideWhenUsed/>
    <w:rsid w:val="00F67A25"/>
    <w:pPr>
      <w:spacing w:after="100"/>
      <w:ind w:left="400"/>
    </w:pPr>
  </w:style>
  <w:style w:type="character" w:customStyle="1" w:styleId="Heading4Char">
    <w:name w:val="Heading 4 Char"/>
    <w:basedOn w:val="DefaultParagraphFont"/>
    <w:link w:val="Heading4"/>
    <w:uiPriority w:val="4"/>
    <w:rsid w:val="00CC794E"/>
    <w:rPr>
      <w:rFonts w:asciiTheme="majorHAnsi" w:eastAsiaTheme="majorEastAsia" w:hAnsiTheme="majorHAnsi" w:cstheme="majorBidi"/>
      <w:b/>
      <w:bCs/>
      <w:iCs/>
      <w:color w:val="000000" w:themeColor="accent1"/>
      <w:sz w:val="23"/>
      <w:szCs w:val="20"/>
    </w:rPr>
  </w:style>
  <w:style w:type="character" w:styleId="SubtleEmphasis">
    <w:name w:val="Subtle Emphasis"/>
    <w:basedOn w:val="DefaultParagraphFont"/>
    <w:uiPriority w:val="19"/>
    <w:rsid w:val="008F0C7A"/>
    <w:rPr>
      <w:i/>
      <w:iCs/>
      <w:color w:val="808080" w:themeColor="text1" w:themeTint="7F"/>
    </w:rPr>
  </w:style>
  <w:style w:type="character" w:customStyle="1" w:styleId="Heading5Char">
    <w:name w:val="Heading 5 Char"/>
    <w:basedOn w:val="DefaultParagraphFont"/>
    <w:link w:val="Heading5"/>
    <w:uiPriority w:val="5"/>
    <w:rsid w:val="00CC794E"/>
    <w:rPr>
      <w:rFonts w:asciiTheme="majorHAnsi" w:eastAsiaTheme="majorEastAsia" w:hAnsiTheme="majorHAnsi" w:cstheme="majorBidi"/>
      <w:b/>
      <w:i/>
      <w:color w:val="000000" w:themeColor="accent1" w:themeShade="7F"/>
      <w:szCs w:val="20"/>
    </w:rPr>
  </w:style>
  <w:style w:type="paragraph" w:styleId="ListParagraph">
    <w:name w:val="List Paragraph"/>
    <w:basedOn w:val="Normal"/>
    <w:uiPriority w:val="34"/>
    <w:qFormat/>
    <w:rsid w:val="00846B28"/>
    <w:pPr>
      <w:spacing w:after="120"/>
      <w:ind w:left="720"/>
      <w:contextualSpacing/>
    </w:pPr>
  </w:style>
  <w:style w:type="paragraph" w:styleId="FootnoteText">
    <w:name w:val="footnote text"/>
    <w:basedOn w:val="Normal"/>
    <w:link w:val="FootnoteTextChar"/>
    <w:uiPriority w:val="99"/>
    <w:semiHidden/>
    <w:unhideWhenUsed/>
    <w:rsid w:val="00846B28"/>
    <w:rPr>
      <w:sz w:val="20"/>
    </w:rPr>
  </w:style>
  <w:style w:type="character" w:customStyle="1" w:styleId="FootnoteTextChar">
    <w:name w:val="Footnote Text Char"/>
    <w:basedOn w:val="DefaultParagraphFont"/>
    <w:link w:val="FootnoteText"/>
    <w:uiPriority w:val="99"/>
    <w:semiHidden/>
    <w:rsid w:val="00846B28"/>
    <w:rPr>
      <w:sz w:val="20"/>
      <w:szCs w:val="20"/>
    </w:rPr>
  </w:style>
  <w:style w:type="character" w:styleId="FootnoteReference">
    <w:name w:val="footnote reference"/>
    <w:basedOn w:val="DefaultParagraphFont"/>
    <w:uiPriority w:val="99"/>
    <w:semiHidden/>
    <w:unhideWhenUsed/>
    <w:rsid w:val="00846B28"/>
    <w:rPr>
      <w:vertAlign w:val="superscript"/>
    </w:rPr>
  </w:style>
  <w:style w:type="paragraph" w:styleId="Caption">
    <w:name w:val="caption"/>
    <w:basedOn w:val="Normal"/>
    <w:next w:val="Normal"/>
    <w:uiPriority w:val="35"/>
    <w:unhideWhenUsed/>
    <w:qFormat/>
    <w:rsid w:val="00012921"/>
    <w:rPr>
      <w:b/>
      <w:bCs/>
      <w:color w:val="000000" w:themeColor="accent1"/>
      <w:sz w:val="18"/>
      <w:szCs w:val="18"/>
    </w:rPr>
  </w:style>
  <w:style w:type="character" w:customStyle="1" w:styleId="Heading6Char">
    <w:name w:val="Heading 6 Char"/>
    <w:basedOn w:val="DefaultParagraphFont"/>
    <w:link w:val="Heading6"/>
    <w:uiPriority w:val="6"/>
    <w:rsid w:val="00CC794E"/>
    <w:rPr>
      <w:rFonts w:asciiTheme="majorHAnsi" w:eastAsiaTheme="majorEastAsia" w:hAnsiTheme="majorHAnsi" w:cstheme="majorBidi"/>
      <w:iCs/>
      <w:color w:val="000000" w:themeColor="accent1" w:themeShade="7F"/>
      <w:sz w:val="24"/>
      <w:szCs w:val="20"/>
    </w:rPr>
  </w:style>
  <w:style w:type="character" w:styleId="BookTitle">
    <w:name w:val="Book Title"/>
    <w:basedOn w:val="DefaultParagraphFont"/>
    <w:uiPriority w:val="33"/>
    <w:rsid w:val="00E67D13"/>
    <w:rPr>
      <w:b/>
      <w:bCs/>
      <w:smallCaps/>
      <w:spacing w:val="5"/>
    </w:rPr>
  </w:style>
  <w:style w:type="paragraph" w:customStyle="1" w:styleId="paragraph">
    <w:name w:val="paragraph"/>
    <w:basedOn w:val="Normal"/>
    <w:uiPriority w:val="39"/>
    <w:rsid w:val="006E29C5"/>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g-directive">
    <w:name w:val="ng-directive"/>
    <w:basedOn w:val="DefaultParagraphFont"/>
    <w:uiPriority w:val="39"/>
    <w:rsid w:val="006E29C5"/>
  </w:style>
  <w:style w:type="paragraph" w:styleId="NoSpacing">
    <w:name w:val="No Spacing"/>
    <w:link w:val="NoSpacingChar"/>
    <w:uiPriority w:val="1"/>
    <w:qFormat/>
    <w:rsid w:val="00114F2F"/>
    <w:rPr>
      <w:rFonts w:ascii="Arial" w:hAnsi="Arial"/>
    </w:rPr>
  </w:style>
  <w:style w:type="character" w:customStyle="1" w:styleId="NoSpacingChar">
    <w:name w:val="No Spacing Char"/>
    <w:basedOn w:val="DefaultParagraphFont"/>
    <w:link w:val="NoSpacing"/>
    <w:uiPriority w:val="1"/>
    <w:rsid w:val="00114F2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026164">
      <w:bodyDiv w:val="1"/>
      <w:marLeft w:val="0"/>
      <w:marRight w:val="0"/>
      <w:marTop w:val="0"/>
      <w:marBottom w:val="0"/>
      <w:divBdr>
        <w:top w:val="none" w:sz="0" w:space="0" w:color="auto"/>
        <w:left w:val="none" w:sz="0" w:space="0" w:color="auto"/>
        <w:bottom w:val="none" w:sz="0" w:space="0" w:color="auto"/>
        <w:right w:val="none" w:sz="0" w:space="0" w:color="auto"/>
      </w:divBdr>
    </w:div>
    <w:div w:id="719481123">
      <w:bodyDiv w:val="1"/>
      <w:marLeft w:val="0"/>
      <w:marRight w:val="0"/>
      <w:marTop w:val="0"/>
      <w:marBottom w:val="0"/>
      <w:divBdr>
        <w:top w:val="none" w:sz="0" w:space="0" w:color="auto"/>
        <w:left w:val="none" w:sz="0" w:space="0" w:color="auto"/>
        <w:bottom w:val="none" w:sz="0" w:space="0" w:color="auto"/>
        <w:right w:val="none" w:sz="0" w:space="0" w:color="auto"/>
      </w:divBdr>
    </w:div>
    <w:div w:id="773860245">
      <w:bodyDiv w:val="1"/>
      <w:marLeft w:val="0"/>
      <w:marRight w:val="0"/>
      <w:marTop w:val="0"/>
      <w:marBottom w:val="0"/>
      <w:divBdr>
        <w:top w:val="none" w:sz="0" w:space="0" w:color="auto"/>
        <w:left w:val="none" w:sz="0" w:space="0" w:color="auto"/>
        <w:bottom w:val="none" w:sz="0" w:space="0" w:color="auto"/>
        <w:right w:val="none" w:sz="0" w:space="0" w:color="auto"/>
      </w:divBdr>
    </w:div>
    <w:div w:id="96462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transition.fcc.gov/cgb/dro/exemptions_from_cc_rules.html" TargetMode="External"/><Relationship Id="rId2" Type="http://schemas.openxmlformats.org/officeDocument/2006/relationships/hyperlink" Target="http://stakeholders.ofcom.org.uk/consultations/socp/main/?a=87101" TargetMode="External"/><Relationship Id="rId1" Type="http://schemas.openxmlformats.org/officeDocument/2006/relationships/hyperlink" Target="http://stakeholders.ofcom.org.uk/broadcasting/broadcast-codes/tv-access-services/code-tv-access-services/" TargetMode="External"/><Relationship Id="rId5" Type="http://schemas.openxmlformats.org/officeDocument/2006/relationships/hyperlink" Target="http://ach.fcc.gov/products-and-services/mobile-devices/region-na/all-manufacturer/all-blind-features/all-cognitive-features/all-hearing-features/all-mobility-features/all-physical-features/page-1-of-3/show-100/blind-or-visually-impaired" TargetMode="External"/><Relationship Id="rId4" Type="http://schemas.openxmlformats.org/officeDocument/2006/relationships/hyperlink" Target="http://www.fcc.gov/document/fcc-adopts-new-video-accessibility-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Mikul\AppData\Roaming\Microsoft\Templates\2-page%20MAA_2013.dotx" TargetMode="External"/></Relationships>
</file>

<file path=word/theme/theme1.xml><?xml version="1.0" encoding="utf-8"?>
<a:theme xmlns:a="http://schemas.openxmlformats.org/drawingml/2006/main" name="Office Theme">
  <a:themeElements>
    <a:clrScheme name="Media Access Australia Black">
      <a:dk1>
        <a:sysClr val="windowText" lastClr="000000"/>
      </a:dk1>
      <a:lt1>
        <a:sysClr val="window" lastClr="FFFFFF"/>
      </a:lt1>
      <a:dk2>
        <a:srgbClr val="000000"/>
      </a:dk2>
      <a:lt2>
        <a:srgbClr val="D1D3D4"/>
      </a:lt2>
      <a:accent1>
        <a:srgbClr val="000000"/>
      </a:accent1>
      <a:accent2>
        <a:srgbClr val="999999"/>
      </a:accent2>
      <a:accent3>
        <a:srgbClr val="4CAA48"/>
      </a:accent3>
      <a:accent4>
        <a:srgbClr val="D1D3D4"/>
      </a:accent4>
      <a:accent5>
        <a:srgbClr val="00AEEF"/>
      </a:accent5>
      <a:accent6>
        <a:srgbClr val="D80073"/>
      </a:accent6>
      <a:hlink>
        <a:srgbClr val="F2AF32"/>
      </a:hlink>
      <a:folHlink>
        <a:srgbClr val="800080"/>
      </a:folHlink>
    </a:clrScheme>
    <a:fontScheme name="Media Access Austral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A6BFF-E054-4637-A29B-5EDBD671F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2-page MAA_2013</Template>
  <TotalTime>0</TotalTime>
  <Pages>4</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Netspin Multimedia</Company>
  <LinksUpToDate>false</LinksUpToDate>
  <CharactersWithSpaces>7777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Mikul</dc:creator>
  <cp:lastModifiedBy>Chris Mikul</cp:lastModifiedBy>
  <cp:revision>2</cp:revision>
  <cp:lastPrinted>2014-02-17T03:21:00Z</cp:lastPrinted>
  <dcterms:created xsi:type="dcterms:W3CDTF">2014-02-19T03:01:00Z</dcterms:created>
  <dcterms:modified xsi:type="dcterms:W3CDTF">2014-02-19T03:01:00Z</dcterms:modified>
</cp:coreProperties>
</file>